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89A5" w14:textId="77777777" w:rsidR="00AB24B2" w:rsidRPr="008613C4" w:rsidRDefault="00AB24B2" w:rsidP="004E22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KISA ÜRÜN B</w:t>
      </w:r>
      <w:r w:rsidR="003F75DE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LG</w:t>
      </w:r>
      <w:r w:rsidR="003F75DE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İSİ</w:t>
      </w:r>
    </w:p>
    <w:p w14:paraId="0A7134AB" w14:textId="77777777" w:rsidR="004E2245" w:rsidRPr="008613C4" w:rsidRDefault="004E2245" w:rsidP="004E22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FE40AA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BE</w:t>
      </w:r>
      <w:r w:rsidR="003F75DE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Ş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</w:t>
      </w:r>
      <w:r w:rsidR="003F75DE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TIBB</w:t>
      </w:r>
      <w:r w:rsidR="003F75DE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ÜRÜNÜN ADI</w:t>
      </w:r>
    </w:p>
    <w:p w14:paraId="7AD5BF36" w14:textId="6B903A3F" w:rsidR="00887248" w:rsidRPr="00685012" w:rsidRDefault="00887248" w:rsidP="00887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BENFODİAN 15</w:t>
      </w:r>
      <w:r w:rsidRPr="00685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mg </w:t>
      </w:r>
      <w:r w:rsidR="000A73E6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685012">
        <w:rPr>
          <w:rFonts w:ascii="Times New Roman" w:hAnsi="Times New Roman" w:cs="Times New Roman"/>
          <w:color w:val="000000" w:themeColor="text1"/>
          <w:sz w:val="24"/>
          <w:szCs w:val="24"/>
        </w:rPr>
        <w:t>ilm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73E6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DD3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aplı </w:t>
      </w:r>
      <w:r w:rsidR="000A73E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DD350D">
        <w:rPr>
          <w:rFonts w:ascii="Times New Roman" w:hAnsi="Times New Roman" w:cs="Times New Roman"/>
          <w:color w:val="000000" w:themeColor="text1"/>
          <w:sz w:val="24"/>
          <w:szCs w:val="24"/>
        </w:rPr>
        <w:t>ablet</w:t>
      </w:r>
    </w:p>
    <w:p w14:paraId="6EE935C5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C0C221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KAL</w:t>
      </w:r>
      <w:r w:rsidR="003F75DE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TAT</w:t>
      </w:r>
      <w:r w:rsidR="003F75DE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 VE KANT</w:t>
      </w:r>
      <w:r w:rsidR="003F75DE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TAT</w:t>
      </w:r>
      <w:r w:rsidR="003F75DE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 B</w:t>
      </w:r>
      <w:r w:rsidR="003F75DE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</w:t>
      </w:r>
      <w:r w:rsidR="003F75DE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3F75DE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</w:p>
    <w:p w14:paraId="14E40D56" w14:textId="77777777" w:rsidR="00470C7D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Etkin </w:t>
      </w:r>
      <w:r w:rsidR="00783893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madde: </w:t>
      </w:r>
    </w:p>
    <w:p w14:paraId="0BE04934" w14:textId="755D9EA8" w:rsidR="00BD0C88" w:rsidRPr="008613C4" w:rsidRDefault="00153F5B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Benfotiamin</w:t>
      </w:r>
      <w:proofErr w:type="spellEnd"/>
      <w:r w:rsidR="00F12205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</w:t>
      </w:r>
      <w:r w:rsidR="00A02D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D0C88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150 mg</w:t>
      </w:r>
    </w:p>
    <w:p w14:paraId="366502C5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27FFDA" w14:textId="3A25D5BB" w:rsidR="00381ABC" w:rsidRPr="00170133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70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Yardımcı </w:t>
      </w:r>
      <w:r w:rsidR="00783893" w:rsidRPr="00170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</w:t>
      </w:r>
      <w:r w:rsidR="00170133" w:rsidRPr="00170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spellStart"/>
      <w:r w:rsidR="00783893" w:rsidRPr="00170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ler</w:t>
      </w:r>
      <w:proofErr w:type="spellEnd"/>
      <w:r w:rsidR="00170133" w:rsidRPr="00170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783893" w:rsidRPr="00170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31363F0" w14:textId="25541A77" w:rsidR="00170133" w:rsidRPr="009D16AB" w:rsidRDefault="00170133" w:rsidP="00170133">
      <w:pPr>
        <w:pStyle w:val="Gvdemetni0"/>
        <w:spacing w:after="0"/>
        <w:rPr>
          <w:sz w:val="24"/>
          <w:szCs w:val="24"/>
        </w:rPr>
      </w:pPr>
      <w:proofErr w:type="spellStart"/>
      <w:r w:rsidRPr="009D16AB">
        <w:rPr>
          <w:sz w:val="24"/>
          <w:szCs w:val="24"/>
        </w:rPr>
        <w:t>Kroskarmeloz</w:t>
      </w:r>
      <w:proofErr w:type="spellEnd"/>
      <w:r w:rsidRPr="009D16AB">
        <w:rPr>
          <w:sz w:val="24"/>
          <w:szCs w:val="24"/>
        </w:rPr>
        <w:t xml:space="preserve"> sodyum   </w:t>
      </w:r>
      <w:r w:rsidR="004B7648" w:rsidRPr="009D16AB">
        <w:rPr>
          <w:sz w:val="24"/>
          <w:szCs w:val="24"/>
        </w:rPr>
        <w:t>2</w:t>
      </w:r>
      <w:r w:rsidRPr="009D16AB">
        <w:rPr>
          <w:sz w:val="24"/>
          <w:szCs w:val="24"/>
        </w:rPr>
        <w:t xml:space="preserve">0 mg </w:t>
      </w:r>
    </w:p>
    <w:p w14:paraId="29EDD896" w14:textId="26881BD4" w:rsidR="00170133" w:rsidRPr="00170133" w:rsidRDefault="00170133" w:rsidP="00170133">
      <w:pPr>
        <w:pStyle w:val="Gvdemetni0"/>
        <w:spacing w:after="0"/>
        <w:rPr>
          <w:sz w:val="24"/>
          <w:szCs w:val="24"/>
        </w:rPr>
      </w:pPr>
      <w:r w:rsidRPr="009D16AB">
        <w:rPr>
          <w:sz w:val="24"/>
          <w:szCs w:val="24"/>
        </w:rPr>
        <w:t xml:space="preserve">Sodyum </w:t>
      </w:r>
      <w:proofErr w:type="spellStart"/>
      <w:r w:rsidRPr="009D16AB">
        <w:rPr>
          <w:sz w:val="24"/>
          <w:szCs w:val="24"/>
        </w:rPr>
        <w:t>sakkarin</w:t>
      </w:r>
      <w:proofErr w:type="spellEnd"/>
      <w:r w:rsidRPr="009D16AB">
        <w:rPr>
          <w:sz w:val="24"/>
          <w:szCs w:val="24"/>
        </w:rPr>
        <w:t xml:space="preserve">            0.</w:t>
      </w:r>
      <w:r w:rsidR="004B7648" w:rsidRPr="009D16AB">
        <w:rPr>
          <w:sz w:val="24"/>
          <w:szCs w:val="24"/>
        </w:rPr>
        <w:t>2</w:t>
      </w:r>
      <w:r w:rsidRPr="009D16AB">
        <w:rPr>
          <w:sz w:val="24"/>
          <w:szCs w:val="24"/>
        </w:rPr>
        <w:t>5 mg</w:t>
      </w:r>
    </w:p>
    <w:p w14:paraId="128352FD" w14:textId="77777777" w:rsidR="00170133" w:rsidRPr="008613C4" w:rsidRDefault="00170133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8F488F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Yardımcı maddeler için</w:t>
      </w:r>
      <w:r w:rsidR="00EF1045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bölüm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389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16619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8389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1’e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bakınız.</w:t>
      </w:r>
    </w:p>
    <w:p w14:paraId="64DF3AD0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62E0257C" w14:textId="27AC8675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FARMASÖT</w:t>
      </w:r>
      <w:r w:rsidR="00783893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 FORM</w:t>
      </w:r>
    </w:p>
    <w:p w14:paraId="4C0B03C7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Film tablet.</w:t>
      </w:r>
    </w:p>
    <w:p w14:paraId="5D9CBB30" w14:textId="77777777" w:rsidR="00AB24B2" w:rsidRPr="008613C4" w:rsidRDefault="002303B4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Yuvarlak, bir yüzü ‘N150’ baskılı, beyaz renkte film kaplı tablet</w:t>
      </w:r>
      <w:r w:rsidR="00A16619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C60EBB" w14:textId="77777777" w:rsidR="002648E8" w:rsidRPr="008613C4" w:rsidRDefault="002648E8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29300429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KL</w:t>
      </w:r>
      <w:r w:rsidR="00783893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="00783893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 ÖZELL</w:t>
      </w:r>
      <w:r w:rsidR="00783893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KLER</w:t>
      </w:r>
    </w:p>
    <w:p w14:paraId="321C65C6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4.1. Terapötik endikasyonlar</w:t>
      </w:r>
    </w:p>
    <w:p w14:paraId="06791E59" w14:textId="77777777" w:rsidR="008979BF" w:rsidRPr="008613C4" w:rsidRDefault="008979BF" w:rsidP="008979BF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Beslenme yoluyla giderilemeyen klinik B1 vitamin eksikliğinde kullanılır</w:t>
      </w:r>
      <w:r w:rsidR="00DC6298" w:rsidRPr="008613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613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8DDF65" w14:textId="77777777" w:rsidR="007821ED" w:rsidRPr="008613C4" w:rsidRDefault="007821ED" w:rsidP="002648E8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30C02632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4.2. </w:t>
      </w:r>
      <w:proofErr w:type="spellStart"/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Pozoloji</w:t>
      </w:r>
      <w:proofErr w:type="spellEnd"/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ve uygulama </w:t>
      </w:r>
      <w:r w:rsidR="00783893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ş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ekli</w:t>
      </w:r>
    </w:p>
    <w:p w14:paraId="5686136B" w14:textId="77777777" w:rsidR="002752DC" w:rsidRPr="008613C4" w:rsidRDefault="00AB24B2" w:rsidP="0027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Pozoloji</w:t>
      </w:r>
      <w:proofErr w:type="spellEnd"/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/uygulama </w:t>
      </w:r>
      <w:r w:rsidR="00783893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sıklı</w:t>
      </w:r>
      <w:r w:rsidR="00783893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ğ</w:t>
      </w:r>
      <w:r w:rsidR="00783893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ı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ve </w:t>
      </w:r>
      <w:r w:rsidR="00783893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süresi:</w:t>
      </w:r>
    </w:p>
    <w:p w14:paraId="70A3E61B" w14:textId="77777777" w:rsidR="00941FA4" w:rsidRPr="008613C4" w:rsidRDefault="002752DC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B1 vitamin eksikliğini tedavi etmek için günde</w:t>
      </w:r>
      <w:r w:rsidR="00547591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D14AB7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50</w:t>
      </w: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-300 mg kullanılır. </w:t>
      </w:r>
      <w:r w:rsidR="00D14AB7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Günde bir kez 1 veya 2 tablet verilebilir</w:t>
      </w:r>
      <w:r w:rsidR="006D3F38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ABF8BC6" w14:textId="77777777" w:rsidR="00D75BC4" w:rsidRPr="008613C4" w:rsidRDefault="00D75BC4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1620F6A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Uygulama </w:t>
      </w:r>
      <w:r w:rsidR="00783893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ş</w:t>
      </w:r>
      <w:r w:rsidR="00783893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ekli:</w:t>
      </w:r>
    </w:p>
    <w:p w14:paraId="29F5F8E0" w14:textId="16E35565" w:rsidR="00AB24B2" w:rsidRPr="008613C4" w:rsidRDefault="00984F8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Film tabletler </w:t>
      </w:r>
      <w:r w:rsidR="00170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941FA4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ral yolla alınmalı</w:t>
      </w:r>
      <w:r w:rsidR="00D67E52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ve sıvıyla be</w:t>
      </w:r>
      <w:r w:rsidR="007C028C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raber bütün olarak yutulmalıdırlar.</w:t>
      </w:r>
    </w:p>
    <w:p w14:paraId="5C597906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84C3BD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Özel popülasyonlara </w:t>
      </w:r>
      <w:r w:rsidR="00783893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ili</w:t>
      </w:r>
      <w:r w:rsidR="00783893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ş</w:t>
      </w:r>
      <w:r w:rsidR="00783893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kin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ek </w:t>
      </w:r>
      <w:r w:rsidR="00783893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bilgiler:</w:t>
      </w:r>
    </w:p>
    <w:p w14:paraId="5356290A" w14:textId="77777777" w:rsidR="00D67E5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Böbrek/</w:t>
      </w:r>
      <w:r w:rsidR="00783893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Karaci</w:t>
      </w:r>
      <w:r w:rsidR="00783893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ğ</w:t>
      </w:r>
      <w:r w:rsidR="00783893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83893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yetmezli</w:t>
      </w:r>
      <w:r w:rsidR="00783893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ğ</w:t>
      </w:r>
      <w:r w:rsidR="00783893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i: </w:t>
      </w:r>
    </w:p>
    <w:p w14:paraId="2B713662" w14:textId="77777777" w:rsidR="00E31C88" w:rsidRPr="008613C4" w:rsidRDefault="00E31C88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Özel bir doz önerisi verilmemiştir.</w:t>
      </w:r>
    </w:p>
    <w:p w14:paraId="31400799" w14:textId="77777777" w:rsidR="00DC6298" w:rsidRPr="008613C4" w:rsidRDefault="00DC6298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7042B1" w14:textId="77777777" w:rsidR="00D67E5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Pediyatrik </w:t>
      </w:r>
      <w:r w:rsidR="00175E18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popülasyon: </w:t>
      </w:r>
    </w:p>
    <w:p w14:paraId="6DBB2610" w14:textId="77777777" w:rsidR="00D67E52" w:rsidRPr="008613C4" w:rsidRDefault="00D67E5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 yaş altındaki</w:t>
      </w:r>
      <w:r w:rsidR="00D95505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çocuklarda kontrendikedir</w:t>
      </w:r>
      <w:r w:rsidR="002648E8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FB022A2" w14:textId="77777777" w:rsidR="00D67E5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Geriyatrik</w:t>
      </w:r>
      <w:proofErr w:type="spellEnd"/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75E18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popülasyon: </w:t>
      </w:r>
    </w:p>
    <w:p w14:paraId="632D78BE" w14:textId="77777777" w:rsidR="006B2BBD" w:rsidRPr="008613C4" w:rsidRDefault="00D67E5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Özel bir doz önerisi verilmemiştir.</w:t>
      </w:r>
    </w:p>
    <w:p w14:paraId="627DED55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06CDB1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4.3. Kontrendikasyonlar</w:t>
      </w:r>
    </w:p>
    <w:p w14:paraId="640DC3C9" w14:textId="0CAC1F77" w:rsidR="004E2245" w:rsidRPr="008613C4" w:rsidRDefault="00E31C88" w:rsidP="002648E8">
      <w:pPr>
        <w:pStyle w:val="ListeParagraf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Benfotiamin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118F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/ Tiamine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505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veya </w:t>
      </w:r>
      <w:proofErr w:type="spellStart"/>
      <w:r w:rsidR="00D95505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eksipiyanların</w:t>
      </w:r>
      <w:proofErr w:type="spellEnd"/>
      <w:r w:rsidR="00D95505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herhangi bileşenine karşı aşırı </w:t>
      </w:r>
      <w:r w:rsidR="00175E1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duyarlılığı</w:t>
      </w:r>
      <w:r w:rsidR="00AB24B2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5E1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olduğu</w:t>
      </w:r>
      <w:r w:rsidR="00AB24B2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bilinen hastalarda</w:t>
      </w:r>
      <w:r w:rsidR="00175E1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537E">
        <w:rPr>
          <w:rFonts w:ascii="Times New Roman" w:hAnsi="Times New Roman" w:cs="Times New Roman"/>
          <w:color w:val="000000" w:themeColor="text1"/>
          <w:sz w:val="24"/>
          <w:szCs w:val="24"/>
        </w:rPr>
        <w:t>BENFODİAN</w:t>
      </w:r>
      <w:r w:rsidR="00F7537E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4B2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kullanımı kontrendikedir.</w:t>
      </w:r>
    </w:p>
    <w:p w14:paraId="7F1CD09B" w14:textId="77777777" w:rsidR="0020118F" w:rsidRPr="008613C4" w:rsidRDefault="0020118F" w:rsidP="002648E8">
      <w:pPr>
        <w:pStyle w:val="ListeParagraf"/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7BBB4E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4.4. Özel kullanım uyarıları ve önlemleri</w:t>
      </w:r>
    </w:p>
    <w:p w14:paraId="18CD4F84" w14:textId="77777777" w:rsidR="000A602F" w:rsidRPr="008613C4" w:rsidRDefault="000A602F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Yardımcı maddelerden kaynaklanan özel bir uyarı gerekmemektedir.</w:t>
      </w:r>
    </w:p>
    <w:p w14:paraId="17704CED" w14:textId="77777777" w:rsidR="009A7AF4" w:rsidRPr="008613C4" w:rsidRDefault="009A7AF4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43EEFF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4.5. </w:t>
      </w:r>
      <w:r w:rsidR="00175E18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</w:t>
      </w:r>
      <w:r w:rsidR="00175E18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ğ</w:t>
      </w:r>
      <w:r w:rsidR="00175E18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tıbbi ürünler ile </w:t>
      </w:r>
      <w:r w:rsidR="00175E18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etkile</w:t>
      </w:r>
      <w:r w:rsidR="00175E18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ş</w:t>
      </w:r>
      <w:r w:rsidR="00175E18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imler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ve </w:t>
      </w:r>
      <w:r w:rsidR="00175E18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</w:t>
      </w:r>
      <w:r w:rsidR="00175E18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ğ</w:t>
      </w:r>
      <w:r w:rsidR="00175E18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75E18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etkile</w:t>
      </w:r>
      <w:r w:rsidR="00175E18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ş</w:t>
      </w:r>
      <w:r w:rsidR="00175E18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im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75E18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ş</w:t>
      </w:r>
      <w:r w:rsidR="00175E18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ekilleri</w:t>
      </w:r>
    </w:p>
    <w:p w14:paraId="2B3490BE" w14:textId="77777777" w:rsidR="0063426D" w:rsidRPr="008613C4" w:rsidRDefault="0063426D" w:rsidP="0063426D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Tiamin antagonistleri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tiyosemikarbazon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5-florourasil, tiaminin etkisini nötralize edebilir.</w:t>
      </w:r>
      <w:r w:rsidR="005C33E1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Bu tedavilerden herhangi birini kullanan hastaların tiamin dozunun ayarlanması gerekebilir.</w:t>
      </w:r>
    </w:p>
    <w:p w14:paraId="1AA19647" w14:textId="77777777" w:rsidR="005415DB" w:rsidRPr="008613C4" w:rsidRDefault="00062345" w:rsidP="00F627AC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Tiamin,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Ehrlich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reaksiyonu ile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ürobilinojen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tayini için yanlış pozitif sonuçlar verebilir.</w:t>
      </w:r>
      <w:r w:rsidR="006B4FF0" w:rsidRPr="008613C4">
        <w:rPr>
          <w:rFonts w:ascii="inherit" w:eastAsia="Times New Roman" w:hAnsi="inherit" w:cs="Courier New"/>
          <w:color w:val="000000" w:themeColor="text1"/>
          <w:sz w:val="42"/>
          <w:szCs w:val="42"/>
        </w:rPr>
        <w:t xml:space="preserve"> </w:t>
      </w:r>
      <w:r w:rsidR="006B4FF0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Yüksek dozlarda tiamin, teofilin plazma konsantrasyonunun spektrofotometrik analizlerini etkileyebilir.</w:t>
      </w:r>
    </w:p>
    <w:p w14:paraId="440EDFAF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4.6. Gebelik ve laktasyon</w:t>
      </w:r>
    </w:p>
    <w:p w14:paraId="09A817C4" w14:textId="77777777" w:rsidR="00AB26EA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Genel tavsiye</w:t>
      </w:r>
    </w:p>
    <w:p w14:paraId="10A46FDB" w14:textId="77777777" w:rsidR="00AB24B2" w:rsidRPr="008613C4" w:rsidRDefault="00AB24B2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Gebelik kategorisi</w:t>
      </w:r>
      <w:r w:rsidR="00AE4919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66AB4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</w:p>
    <w:p w14:paraId="0F63DA23" w14:textId="77777777" w:rsidR="00AB26EA" w:rsidRPr="008613C4" w:rsidRDefault="00AB26EA" w:rsidP="006D3F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Bu ürün hamile veya emziren kadınlarda kullanılmak üzere tasarlanmamıştır.</w:t>
      </w:r>
    </w:p>
    <w:p w14:paraId="04B41F53" w14:textId="77777777" w:rsidR="009A5A6C" w:rsidRPr="008613C4" w:rsidRDefault="009A5A6C" w:rsidP="002648E8">
      <w:pPr>
        <w:spacing w:after="0" w:line="360" w:lineRule="auto"/>
        <w:jc w:val="both"/>
        <w:rPr>
          <w:color w:val="000000" w:themeColor="text1"/>
        </w:rPr>
      </w:pPr>
    </w:p>
    <w:p w14:paraId="0D2265E2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Çocuk </w:t>
      </w:r>
      <w:r w:rsidR="00175E18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</w:t>
      </w:r>
      <w:r w:rsidR="00175E18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ğ</w:t>
      </w:r>
      <w:r w:rsidR="00175E18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urma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potansiyeli bulunan kadınlar / </w:t>
      </w:r>
      <w:r w:rsidR="00175E18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</w:t>
      </w:r>
      <w:r w:rsidR="00175E18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ğ</w:t>
      </w:r>
      <w:r w:rsidR="00175E18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um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kontrolü (Kontrasepsiyon)</w:t>
      </w:r>
    </w:p>
    <w:p w14:paraId="7BAB4173" w14:textId="77777777" w:rsidR="00AE4919" w:rsidRPr="008613C4" w:rsidRDefault="00AE4919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="00B97C9C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ebelik döneminde kontrendikedir. Çocuk doğurma potansiyeli olan kadınlar tedavi süresince etkili doğum kontrolü uygulamak zorundadırlar.</w:t>
      </w:r>
    </w:p>
    <w:p w14:paraId="73FADB60" w14:textId="77777777" w:rsidR="002168A2" w:rsidRPr="008613C4" w:rsidRDefault="002168A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9BEE2CA" w14:textId="77777777" w:rsidR="00B97C9C" w:rsidRPr="008613C4" w:rsidRDefault="00B97C9C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Gebelik dönemi</w:t>
      </w:r>
    </w:p>
    <w:p w14:paraId="2B0F5565" w14:textId="74F43EFF" w:rsidR="00AB24B2" w:rsidRPr="008613C4" w:rsidRDefault="004675F1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Gebelik ve emzirme döneminde B</w:t>
      </w: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1</w:t>
      </w: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vitamini için önerilen günlük vitamin alım miktarı 1</w:t>
      </w:r>
      <w:r w:rsidR="00170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 ila 1</w:t>
      </w:r>
      <w:r w:rsidR="001701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6 mg arasındadır. </w:t>
      </w:r>
      <w:r w:rsidR="00CC2B8D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Günlük önerilen dozdan daha yüksek dozların kullanımı güvenilir olmadığından, gebelikte bu doz ancak hastanın kanıtlanmış </w:t>
      </w:r>
      <w:r w:rsidR="005C33E1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</w:t>
      </w:r>
      <w:r w:rsidR="005C33E1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1</w:t>
      </w:r>
      <w:r w:rsidR="005C33E1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vitamin eksikliği olduğu durum</w:t>
      </w:r>
      <w:r w:rsidR="00CC2B8D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larda kullanılabilir.</w:t>
      </w:r>
    </w:p>
    <w:p w14:paraId="064BE0D5" w14:textId="77777777" w:rsidR="005C33E1" w:rsidRPr="008613C4" w:rsidRDefault="005C33E1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7FCF664" w14:textId="77777777" w:rsidR="00535EE2" w:rsidRPr="008613C4" w:rsidRDefault="00535EE2" w:rsidP="00535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Hayvanlar üzerinde yapılan çalışmalar gebelik /ve-veya/ </w:t>
      </w:r>
      <w:proofErr w:type="spellStart"/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embriyonal</w:t>
      </w:r>
      <w:proofErr w:type="spellEnd"/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/fetal gelişim /ve-veya/ doğum /ve-veya/ doğum sonrası gelişim üzerindeki etkileri bakımından yetersizdir.</w:t>
      </w:r>
    </w:p>
    <w:p w14:paraId="2E8517D8" w14:textId="530902F4" w:rsidR="001E3E7D" w:rsidRPr="008613C4" w:rsidRDefault="001E3E7D" w:rsidP="001E3E7D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İnsanlara yönelik potansiyel risk bilinmemektedir. </w:t>
      </w:r>
      <w:r w:rsidR="00F7537E">
        <w:rPr>
          <w:rFonts w:ascii="Times New Roman" w:hAnsi="Times New Roman" w:cs="Times New Roman"/>
          <w:color w:val="000000" w:themeColor="text1"/>
          <w:sz w:val="24"/>
          <w:szCs w:val="24"/>
        </w:rPr>
        <w:t>BENFODİAN</w:t>
      </w:r>
      <w:r w:rsidR="00F753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gerekli olmadıkça (kullanıldığında anneye sağlayacağı fayda fetüs için oluştu</w:t>
      </w:r>
      <w:r w:rsidR="009026E7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racağı riskten yüksek olmadıkça</w:t>
      </w: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9026E7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gebelik döneminde kullanılmamalıdır.</w:t>
      </w:r>
    </w:p>
    <w:p w14:paraId="42F0982E" w14:textId="77777777" w:rsidR="00E72C8B" w:rsidRPr="008613C4" w:rsidRDefault="00E72C8B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30AE6F8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Laktasyon dönemi</w:t>
      </w:r>
    </w:p>
    <w:p w14:paraId="744B6BCB" w14:textId="77777777" w:rsidR="004675F1" w:rsidRPr="008613C4" w:rsidRDefault="008635B4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</w:t>
      </w: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1</w:t>
      </w: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vitamini anne sütüne </w:t>
      </w:r>
      <w:r w:rsidR="004675F1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geçer</w:t>
      </w:r>
      <w:r w:rsidR="002648E8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4725D0" w:rsidRPr="00887248">
        <w:rPr>
          <w:rFonts w:ascii="Arial" w:eastAsia="Times New Roman" w:hAnsi="Arial" w:cs="Times New Roman"/>
          <w:color w:val="000000" w:themeColor="text1"/>
          <w:w w:val="110"/>
          <w:lang w:val="da-DK" w:eastAsia="en-US"/>
        </w:rPr>
        <w:t xml:space="preserve"> </w:t>
      </w:r>
      <w:r w:rsidR="004725D0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Emzirme döneminde kullanılmamalıdır</w:t>
      </w:r>
      <w:r w:rsidR="009026E7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C733154" w14:textId="77777777" w:rsidR="002648E8" w:rsidRPr="008613C4" w:rsidRDefault="002648E8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A380A41" w14:textId="7B5F77FE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Üreme </w:t>
      </w:r>
      <w:r w:rsidR="00175E18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yetene</w:t>
      </w:r>
      <w:r w:rsidR="00175E18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ğ</w:t>
      </w:r>
      <w:r w:rsidR="00175E18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/ </w:t>
      </w:r>
      <w:r w:rsidR="00170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ertilite</w:t>
      </w:r>
    </w:p>
    <w:p w14:paraId="12EE35EF" w14:textId="56EB1FE5" w:rsidR="00AB24B2" w:rsidRPr="008613C4" w:rsidRDefault="00F7537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BENFODİAN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7C9C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ile yap</w:t>
      </w:r>
      <w:r w:rsidR="004B39F1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ılmış fertilite çalışması bulun</w:t>
      </w:r>
      <w:r w:rsidR="00B97C9C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mamaktadır.</w:t>
      </w:r>
    </w:p>
    <w:p w14:paraId="5797CEE4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E8DC16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4.7. Araç ve makine kullanımı üzerindeki etkiler</w:t>
      </w:r>
    </w:p>
    <w:p w14:paraId="01504157" w14:textId="77777777" w:rsidR="00F159E8" w:rsidRPr="008613C4" w:rsidRDefault="00B97C9C" w:rsidP="00F159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Araç ve makine kullanma yeteneği üzerinde hiçbir etkisi gözlemlenmemiştir.</w:t>
      </w:r>
      <w:r w:rsidR="00AB24B2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59E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Bununla birlikte, hastalar araç veya makine kullanmadan önce nasıl tepki verdikleri konusunda uyarılmalıdır.</w:t>
      </w:r>
    </w:p>
    <w:p w14:paraId="7EE75821" w14:textId="77777777" w:rsidR="00B97C9C" w:rsidRPr="008613C4" w:rsidRDefault="00B97C9C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2CECAB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4.8. </w:t>
      </w:r>
      <w:r w:rsidR="00175E18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stenmeyen etkiler</w:t>
      </w:r>
    </w:p>
    <w:p w14:paraId="328012BF" w14:textId="1D46E963" w:rsidR="006D3F38" w:rsidRPr="008613C4" w:rsidRDefault="006D3F38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Tüm ilaçlar gibi </w:t>
      </w:r>
      <w:r w:rsidR="00F7537E">
        <w:rPr>
          <w:rFonts w:ascii="Times New Roman" w:hAnsi="Times New Roman" w:cs="Times New Roman"/>
          <w:color w:val="000000" w:themeColor="text1"/>
          <w:sz w:val="24"/>
          <w:szCs w:val="24"/>
        </w:rPr>
        <w:t>BENFODİAN</w:t>
      </w:r>
      <w:r w:rsidR="00F7537E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içeriğinde bulunan maddelere duyarlı olan kişilerde yan etkiler olabilir.</w:t>
      </w:r>
    </w:p>
    <w:p w14:paraId="765BECD2" w14:textId="77777777" w:rsidR="00BA7FB5" w:rsidRPr="008613C4" w:rsidRDefault="00BA7FB5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İstenmeyen etkilerin değerlendirilmesi aşağıdaki sıklıklara dayanarak yapılır:</w:t>
      </w:r>
    </w:p>
    <w:p w14:paraId="3F992069" w14:textId="77777777" w:rsidR="00BA7FB5" w:rsidRPr="008613C4" w:rsidRDefault="00BA7FB5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Çok yaygın (≥1/10); yaygın (≥1/100 ila &lt; 1/10); yaygın olmayan (≥ 1/1,000 ila &lt;1/100); seyrek (≥</w:t>
      </w:r>
      <w:r w:rsidR="00670647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1/10,000 ila &lt;1/1,000), çok seyrek (&lt;1/10,000), bilinmiyor (eldeki verilerden hareketle tahmin edilemiyor)</w:t>
      </w:r>
    </w:p>
    <w:p w14:paraId="707D3A2D" w14:textId="77777777" w:rsidR="004675F1" w:rsidRPr="008613C4" w:rsidRDefault="004675F1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Bazı durumlarda, aşırı duyarlılık reaksiyonları oluşabilir (ürtiker, döküntü).</w:t>
      </w:r>
    </w:p>
    <w:p w14:paraId="0F2DCEFB" w14:textId="77777777" w:rsidR="00316597" w:rsidRPr="008613C4" w:rsidRDefault="00350AAD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Bazı özel vakalarda yapılan k</w:t>
      </w:r>
      <w:r w:rsidR="00316597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linik çalışmalarda </w:t>
      </w:r>
      <w:proofErr w:type="spellStart"/>
      <w:r w:rsidR="00316597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gastrointestinal</w:t>
      </w:r>
      <w:proofErr w:type="spellEnd"/>
      <w:r w:rsidR="00316597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bo</w:t>
      </w: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zukluk vakaları gibi vakalarda b</w:t>
      </w:r>
      <w:r w:rsidR="00316597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ulantı veya diğer semptomlar </w:t>
      </w: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raporlansa da</w:t>
      </w:r>
      <w:r w:rsidR="00316597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</w:t>
      </w:r>
      <w:r w:rsidR="00316597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1</w:t>
      </w:r>
      <w:r w:rsidR="002648E8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 xml:space="preserve"> </w:t>
      </w:r>
      <w:r w:rsidR="002648E8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</w:t>
      </w:r>
      <w:r w:rsidR="00316597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itamini ile mevcut olan nedensel bağlantılar ilişkisi hala yeterince açıklığa kavuşturulmamıştır.</w:t>
      </w:r>
    </w:p>
    <w:p w14:paraId="6B6A25C2" w14:textId="77777777" w:rsidR="00670647" w:rsidRPr="008613C4" w:rsidRDefault="00670647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37749E" w14:textId="77777777" w:rsidR="00670647" w:rsidRPr="008613C4" w:rsidRDefault="00670647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Bağışıklık sistemi hastalıkları</w:t>
      </w:r>
    </w:p>
    <w:p w14:paraId="0481B608" w14:textId="77777777" w:rsidR="004A1787" w:rsidRPr="008613C4" w:rsidRDefault="00E81DF7" w:rsidP="00E81D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Aşırı duyarlılık reaksiyonları bildirilmiştir (esas olarak </w:t>
      </w:r>
      <w:proofErr w:type="spellStart"/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parenteral</w:t>
      </w:r>
      <w:proofErr w:type="spellEnd"/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uygulamadan sonra)</w:t>
      </w:r>
      <w:r w:rsidR="006D3F38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7F310235" w14:textId="77777777" w:rsidR="00E81DF7" w:rsidRPr="008613C4" w:rsidRDefault="006D3F38" w:rsidP="00E81D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Bilinmiyor: Kaşıntı, ürtiker, kurdeşen, </w:t>
      </w:r>
      <w:proofErr w:type="spellStart"/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anjiyoödem</w:t>
      </w:r>
      <w:proofErr w:type="spellEnd"/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karın ağrısı, solunum sıkıntısı, taşikardi, çarpıntı ve şok semptomları ile alerjik ve anafilaktik reaksiyonlar tek vakalarda bildirilmiştir.</w:t>
      </w:r>
    </w:p>
    <w:p w14:paraId="162E9907" w14:textId="77777777" w:rsidR="009A5A6C" w:rsidRPr="008613C4" w:rsidRDefault="009A5A6C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4B15911" w14:textId="77777777" w:rsidR="00670647" w:rsidRPr="008613C4" w:rsidRDefault="00670647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Gastrointestinal</w:t>
      </w:r>
      <w:proofErr w:type="spellEnd"/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hastalıklar</w:t>
      </w:r>
    </w:p>
    <w:p w14:paraId="72B2AB80" w14:textId="77777777" w:rsidR="00670647" w:rsidRPr="008613C4" w:rsidRDefault="00670647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Bilinmiyor: </w:t>
      </w:r>
      <w:r w:rsidR="00685550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Bulantı</w:t>
      </w:r>
      <w:r w:rsidR="0024702F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24702F" w:rsidRPr="008613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702F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kusma, diyare, abdominal ağrı</w:t>
      </w:r>
    </w:p>
    <w:p w14:paraId="4B6A54E5" w14:textId="77777777" w:rsidR="00F627AC" w:rsidRPr="008613C4" w:rsidRDefault="00F627AC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47B7B9" w14:textId="77777777" w:rsidR="00670647" w:rsidRPr="008613C4" w:rsidRDefault="00670647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Deri ve deri altı doku hastalıkları</w:t>
      </w:r>
    </w:p>
    <w:p w14:paraId="5F600893" w14:textId="77777777" w:rsidR="00CB0525" w:rsidRPr="008613C4" w:rsidRDefault="006951E6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Bilinmiyor</w:t>
      </w:r>
      <w:r w:rsidR="00670647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685550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Ürtiker, döküntüler</w:t>
      </w:r>
    </w:p>
    <w:p w14:paraId="0235DD7A" w14:textId="77777777" w:rsidR="006D3F38" w:rsidRPr="008613C4" w:rsidRDefault="006D3F38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7E3E46" w14:textId="77777777" w:rsidR="001129DC" w:rsidRPr="008613C4" w:rsidRDefault="001129DC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8613C4">
        <w:rPr>
          <w:rFonts w:ascii="Times New Roman" w:hAnsi="Times New Roman"/>
          <w:color w:val="000000" w:themeColor="text1"/>
          <w:sz w:val="24"/>
          <w:szCs w:val="24"/>
          <w:u w:val="single"/>
        </w:rPr>
        <w:t>Şüpheli advers reaksiyonların raporlanması</w:t>
      </w:r>
    </w:p>
    <w:p w14:paraId="71280308" w14:textId="77777777" w:rsidR="0048636A" w:rsidRPr="008613C4" w:rsidRDefault="001129DC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/>
          <w:color w:val="000000" w:themeColor="text1"/>
          <w:sz w:val="24"/>
          <w:szCs w:val="24"/>
        </w:rPr>
        <w:t>Ruhsatlandırma sonrası şüpheli ilaç advers reaksiyonlarının raporlanması büyük önem taşımaktadır. Raporlama yapılması, ilacın yarar / risk dengesinin sürekli olarak izlenmesine olanak sağlar. Sağlık mesleği mensuplarının herhangi bir şüpheli advers reaksiyonu Türkiye Farmakovijilans Merkezi (TÜFAM)’ne bildirmeleri gerekmektedir (</w:t>
      </w:r>
      <w:hyperlink r:id="rId7" w:history="1">
        <w:r w:rsidRPr="008613C4">
          <w:rPr>
            <w:rFonts w:ascii="Times New Roman" w:hAnsi="Times New Roman"/>
            <w:color w:val="000000" w:themeColor="text1"/>
          </w:rPr>
          <w:t>www.titck.gov.tr</w:t>
        </w:r>
      </w:hyperlink>
      <w:r w:rsidRPr="008613C4">
        <w:rPr>
          <w:rFonts w:ascii="Times New Roman" w:hAnsi="Times New Roman"/>
          <w:color w:val="000000" w:themeColor="text1"/>
          <w:sz w:val="24"/>
          <w:szCs w:val="24"/>
        </w:rPr>
        <w:t>; e- posta: tufam@titck.gov.tr; tel: 0 800 314 00 08; faks: 0 312 218 35 99).</w:t>
      </w:r>
    </w:p>
    <w:p w14:paraId="27094790" w14:textId="77777777" w:rsidR="00D75BC4" w:rsidRPr="008613C4" w:rsidRDefault="00D75BC4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0B2A51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4.9. Doz a</w:t>
      </w:r>
      <w:r w:rsidR="00175E18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ımı ve tedavisi</w:t>
      </w:r>
    </w:p>
    <w:p w14:paraId="09633873" w14:textId="77777777" w:rsidR="00660F1D" w:rsidRPr="008613C4" w:rsidRDefault="00F17134" w:rsidP="00660F1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Bu ürünün önerildiği şekilde</w:t>
      </w:r>
      <w:r w:rsidR="00CC2B8D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kullanılması halinde doz aşımına neden olabileceğine dair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herhangi bir</w:t>
      </w:r>
      <w:r w:rsidR="00CC2B8D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kanıt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bulunmamaktadır</w:t>
      </w:r>
      <w:r w:rsidR="00CC2B8D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795125" w14:textId="77777777" w:rsidR="00D75BC4" w:rsidRPr="008613C4" w:rsidRDefault="00D75BC4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2AC937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FARMAKOLOJ</w:t>
      </w:r>
      <w:r w:rsidR="00202C05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 ÖZELL</w:t>
      </w:r>
      <w:r w:rsidR="00202C05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KLER</w:t>
      </w:r>
    </w:p>
    <w:p w14:paraId="3776157A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5.1. Farmakodinamik özellikler</w:t>
      </w:r>
    </w:p>
    <w:p w14:paraId="4822C2A2" w14:textId="77777777" w:rsidR="00AB24B2" w:rsidRPr="008613C4" w:rsidRDefault="00AB24B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Farmakoterapötik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Grup</w:t>
      </w:r>
      <w:r w:rsidR="00685550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Vitaminler </w:t>
      </w:r>
      <w:proofErr w:type="spellStart"/>
      <w:r w:rsidR="00685550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Benfotiamin</w:t>
      </w:r>
      <w:proofErr w:type="spellEnd"/>
    </w:p>
    <w:p w14:paraId="7891AE78" w14:textId="77777777" w:rsidR="00C6222E" w:rsidRPr="008613C4" w:rsidRDefault="00AB24B2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ATC Kodu</w:t>
      </w:r>
      <w:r w:rsidR="00685550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E3191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A11DA03</w:t>
      </w:r>
    </w:p>
    <w:p w14:paraId="07DF27D6" w14:textId="30269850" w:rsidR="00685550" w:rsidRPr="008613C4" w:rsidRDefault="00685550" w:rsidP="002648E8">
      <w:pPr>
        <w:pStyle w:val="AralkYok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vitamini önemli bir etk</w:t>
      </w:r>
      <w:r w:rsidR="0017013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n maddedir.</w:t>
      </w:r>
      <w:r w:rsidR="002648E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Yağda çözünür</w:t>
      </w:r>
      <w:r w:rsidR="00131C0E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ön </w:t>
      </w:r>
      <w:r w:rsidR="0028709B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ilaç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benfotiamin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organizmada biyolojik </w:t>
      </w:r>
      <w:r w:rsidR="00436EFB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olarak aktif </w:t>
      </w:r>
      <w:proofErr w:type="spellStart"/>
      <w:r w:rsidR="00CA5DB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Tiaminpirofosfat</w:t>
      </w:r>
      <w:proofErr w:type="spellEnd"/>
      <w:r w:rsidR="00CA5DB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(TPP)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‘a dönüştürülür</w:t>
      </w:r>
      <w:r w:rsidR="00CA5DB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648E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Tiamin</w:t>
      </w:r>
      <w:r w:rsidR="002648E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pirofosfat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, karbonhidrat metabolizmasının önemli fonksiyonları</w:t>
      </w:r>
      <w:r w:rsidR="001D1B5C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nı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5759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düzenler</w:t>
      </w:r>
      <w:r w:rsidR="00F627AC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07E222" w14:textId="77777777" w:rsidR="00CA5DB3" w:rsidRPr="008613C4" w:rsidRDefault="00CA5DB3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Tiaminpirofosfat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piruvatın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asetil-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COA'ya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dönüşümünde bir koenzim görevi görür ve pentoz fosfat döngüsünde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transketolaz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olarak katılır.</w:t>
      </w:r>
      <w:r w:rsidR="002648E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Aynı zamanda sitrik asit döngüsünde alfa-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ketoglutaratın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süksinil-COA'ya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dönüştürülmesi için de işlev görür.</w:t>
      </w:r>
      <w:r w:rsidR="006F7DB0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Metabolizmadaki</w:t>
      </w:r>
      <w:r w:rsidR="00D66F7E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22B1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benzerliklerinden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yakın bağlardan dolayı, B kompleksinin diğe</w:t>
      </w:r>
      <w:r w:rsidR="002648E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vitaminlerle etkileşimleri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vardır.</w:t>
      </w:r>
    </w:p>
    <w:p w14:paraId="247AFE55" w14:textId="77777777" w:rsidR="006D3F38" w:rsidRPr="008613C4" w:rsidRDefault="006D3F38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7BBD66" w14:textId="77777777" w:rsidR="00CA5DB3" w:rsidRPr="008613C4" w:rsidRDefault="00CA5DB3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Kokarboksilaz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oksidatif glukoz </w:t>
      </w:r>
      <w:r w:rsidR="00D82FD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degradasyonunda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2FD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önemli bir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rol oynayan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piruvat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dehidrojenaz</w:t>
      </w:r>
      <w:r w:rsidR="00D82FD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ın</w:t>
      </w:r>
      <w:r w:rsidR="0081670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2FD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ko</w:t>
      </w:r>
      <w:r w:rsidR="0081670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enzimidir.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Sinir hücrelerinde enerji üretimi esas olarak oksidatif glukoz degradasyonundan kaynaklanır, sinirlerin fonksiyonu için yeterli tiamin temini esastır. Yüksek glikoz seviyelerinde tiamine ilave bir ihtiyaç vardır.</w:t>
      </w:r>
    </w:p>
    <w:p w14:paraId="2F1DC693" w14:textId="77777777" w:rsidR="006D3F38" w:rsidRPr="008613C4" w:rsidRDefault="006D3F38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57CB0C" w14:textId="77777777" w:rsidR="00CA5DB3" w:rsidRPr="008613C4" w:rsidRDefault="00CA5DB3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Kanda yeterli </w:t>
      </w:r>
      <w:r w:rsidR="00D82FD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miktarda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kokarboksilaz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olmaması kaslar</w:t>
      </w:r>
      <w:r w:rsidR="00B35B10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85EE6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kalp kasında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merkezi sinir sistemin</w:t>
      </w:r>
      <w:r w:rsidR="00AC1421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3BCA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özellikle kan ve dokularda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piruvat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laktat ve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ketoglutarat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gibi ara </w:t>
      </w:r>
      <w:r w:rsidR="006D3F3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metabolitlerin</w:t>
      </w:r>
      <w:r w:rsidR="009D3FE9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birikmesine neden olur.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Benfotiamin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 toksik maddelerin birikmesini engeller.</w:t>
      </w:r>
    </w:p>
    <w:p w14:paraId="57155670" w14:textId="77777777" w:rsidR="00CA5DB3" w:rsidRPr="008613C4" w:rsidRDefault="000D7D5E" w:rsidP="007D710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vitamininin durumunu belirlemek için, e</w:t>
      </w:r>
      <w:r w:rsidR="00CA5DB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ritrositlerdeki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transketolaz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(ETK) gibi </w:t>
      </w:r>
      <w:r w:rsidR="00CA5DB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tiamin difosfata bağlı enzim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5DB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aktiviteleri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nin ölçümü</w:t>
      </w:r>
      <w:r w:rsidR="00CA5DB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aktive edilebilirliğinin derecesi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ne bakılır</w:t>
      </w:r>
      <w:r w:rsidR="007D710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A5DB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Plazmadaki ETK konsantrasyonları 2 ila 4 </w:t>
      </w:r>
      <w:proofErr w:type="spellStart"/>
      <w:r w:rsidR="00CA5DB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pg</w:t>
      </w:r>
      <w:proofErr w:type="spellEnd"/>
      <w:r w:rsidR="00CA5DB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100 ml arasındadır.</w:t>
      </w:r>
    </w:p>
    <w:p w14:paraId="68A1E0AD" w14:textId="77777777" w:rsidR="006D3F38" w:rsidRPr="008613C4" w:rsidRDefault="006D3F38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352C75" w14:textId="77777777" w:rsidR="00685550" w:rsidRPr="008613C4" w:rsidRDefault="00CA5DB3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Hayvan</w:t>
      </w:r>
      <w:r w:rsidR="002648E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lar üzerinde yapılan deneylerde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vitamininin (veya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benfotiaminin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11D67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nöronlar üzerine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etkisi gösterilmiştir.</w:t>
      </w:r>
      <w:r w:rsidR="002648E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Alkol</w:t>
      </w:r>
      <w:r w:rsidR="00983DB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bağımlılarının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tedavisinden, aktivasyon faktörü olarak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transketolazlar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üzerinde olumlu bir etkisi bilinmektedir.</w:t>
      </w:r>
    </w:p>
    <w:p w14:paraId="03F755A8" w14:textId="77777777" w:rsidR="006D3F38" w:rsidRPr="008613C4" w:rsidRDefault="006D3F38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9DB6A4" w14:textId="77777777" w:rsidR="00CA5DB3" w:rsidRPr="008613C4" w:rsidRDefault="00CA5DB3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Wernicke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ensefalopatisinin tedavisinde yüksek doz B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vitamini takviyelerinin etkinliği kanıtlanmıştır ve vitaminin doğrudan merkezi sinir sistemine olan etkisi değerlendirilmiştir.</w:t>
      </w:r>
    </w:p>
    <w:p w14:paraId="37749CA7" w14:textId="77777777" w:rsidR="006D3F38" w:rsidRPr="008613C4" w:rsidRDefault="006D3F38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AA7BCD" w14:textId="77777777" w:rsidR="00CA5DB3" w:rsidRPr="008613C4" w:rsidRDefault="00CA5DB3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Benfotiaminin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diyabetik polinöropatideki etkinliği, çok sayıda çift-kör, plasebo-kontrollü bilimsel </w:t>
      </w:r>
      <w:r w:rsidR="0031755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çalışmada belgelendirilmiştir.</w:t>
      </w:r>
      <w:r w:rsidR="009C521C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521C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Ledermann</w:t>
      </w:r>
      <w:proofErr w:type="spellEnd"/>
      <w:r w:rsidR="009C521C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(1989) tarafından yapılan bilimsel çalışmada,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benfotiamin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, B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6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vitamini ve B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12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vitamini bir arada hazırlanarak kullanılmıştır. Tedavi esnasında elde edilen nöropati sonuçlarında ve </w:t>
      </w:r>
      <w:r w:rsidR="00AE10C1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titremelerde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3 hafta içerisinde belirgin bir iyileşme meydana gel</w:t>
      </w:r>
      <w:r w:rsidR="00685290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miştir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. Duyusal bozukluklarla ilgili sonuçla</w:t>
      </w:r>
      <w:r w:rsidR="009C521C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rda da önemli bir iyileşme olmuştur.</w:t>
      </w:r>
    </w:p>
    <w:p w14:paraId="1A5C25BE" w14:textId="77777777" w:rsidR="006D3F38" w:rsidRPr="008613C4" w:rsidRDefault="006D3F38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209B53" w14:textId="77777777" w:rsidR="00CA5DB3" w:rsidRPr="008613C4" w:rsidRDefault="00C91FC1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Ağrı hissi durumunda, s</w:t>
      </w:r>
      <w:r w:rsidR="00CA5DB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erum ile tedavi edilen hastaların</w:t>
      </w:r>
      <w:r w:rsidR="00F96799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5DB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% 47'sinde, plasebo alan hastaların sadece</w:t>
      </w:r>
      <w:r w:rsidR="00F96799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5DB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% 10'unda iyileşme sağlan</w:t>
      </w:r>
      <w:r w:rsidR="00F96799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mıştır.</w:t>
      </w:r>
    </w:p>
    <w:p w14:paraId="69F3ACEC" w14:textId="77777777" w:rsidR="006D3F38" w:rsidRPr="008613C4" w:rsidRDefault="006D3F38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3DB78B" w14:textId="77777777" w:rsidR="00CA5DB3" w:rsidRPr="008613C4" w:rsidRDefault="00CA5DB3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Stracke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Federlin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(1996) tarafından yapılan bilimsel çalışma, sinir iletim hızının </w:t>
      </w:r>
      <w:r w:rsidR="000A0213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ölçülebilir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parametresini ku</w:t>
      </w:r>
      <w:r w:rsidR="002648E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llanarak diyabetik polinöropati</w:t>
      </w:r>
      <w:r w:rsidR="00633F09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benfotiamin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içeren </w:t>
      </w:r>
      <w:r w:rsidR="009C0CBD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kombine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preparatın etkinliğini doğrulamaktadır.</w:t>
      </w:r>
    </w:p>
    <w:p w14:paraId="261AFE80" w14:textId="77777777" w:rsidR="009026E7" w:rsidRPr="008613C4" w:rsidRDefault="009026E7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A23037" w14:textId="77777777" w:rsidR="00CA5DB3" w:rsidRPr="008613C4" w:rsidRDefault="00CA5DB3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Ayrıca, toplam 12 ay boyunca gerçekleştirilen uzun süreli gözlem, bu olumlu etkiyi doğrulamıştır.</w:t>
      </w:r>
    </w:p>
    <w:p w14:paraId="0D20A545" w14:textId="77777777" w:rsidR="00004036" w:rsidRDefault="00E63D62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Başka bir plasebo-kontrollü çift-kör çalışmada, bir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benfotiamin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mono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preparasyonu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648E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nöropati skorunda önemli bir gelişme sağlamıştır</w:t>
      </w:r>
      <w:r w:rsidR="002648E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CB4E40" w14:textId="77777777" w:rsidR="00FE7476" w:rsidRDefault="00FE7476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76B11D" w14:textId="77777777" w:rsidR="00FE7476" w:rsidRDefault="00FE7476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F4FF6F" w14:textId="77777777" w:rsidR="00FE7476" w:rsidRPr="008613C4" w:rsidRDefault="00FE7476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291263" w14:textId="77777777" w:rsidR="008613C4" w:rsidRPr="008613C4" w:rsidRDefault="008613C4" w:rsidP="002648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B34F29" w14:textId="77777777" w:rsidR="00C6222E" w:rsidRPr="008613C4" w:rsidRDefault="00C6222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613C4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lastRenderedPageBreak/>
        <w:t>5.2. Farmakokinetik özellikler</w:t>
      </w:r>
    </w:p>
    <w:p w14:paraId="2FF0A0A7" w14:textId="77777777" w:rsidR="00E63D62" w:rsidRPr="008613C4" w:rsidRDefault="00B539E5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b/>
          <w:color w:val="000000" w:themeColor="text1"/>
          <w:sz w:val="24"/>
          <w:szCs w:val="24"/>
        </w:rPr>
      </w:pPr>
      <w:r w:rsidRPr="008613C4">
        <w:rPr>
          <w:rFonts w:ascii="Times-Roman" w:hAnsi="Times-Roman" w:cs="Times-Roman"/>
          <w:b/>
          <w:color w:val="000000" w:themeColor="text1"/>
          <w:sz w:val="24"/>
          <w:szCs w:val="24"/>
        </w:rPr>
        <w:t>Genel Özellikler</w:t>
      </w:r>
    </w:p>
    <w:p w14:paraId="3D4FE875" w14:textId="77777777" w:rsidR="006D3F38" w:rsidRPr="008613C4" w:rsidRDefault="006D3F38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b/>
          <w:color w:val="000000" w:themeColor="text1"/>
          <w:sz w:val="24"/>
          <w:szCs w:val="24"/>
        </w:rPr>
      </w:pPr>
    </w:p>
    <w:p w14:paraId="3D95966A" w14:textId="77777777" w:rsidR="00C6222E" w:rsidRPr="008613C4" w:rsidRDefault="00202C05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613C4">
        <w:rPr>
          <w:rFonts w:ascii="Times-Roman" w:hAnsi="Times-Roman" w:cs="Times-Roman"/>
          <w:color w:val="000000" w:themeColor="text1"/>
          <w:sz w:val="24"/>
          <w:szCs w:val="24"/>
          <w:u w:val="single"/>
        </w:rPr>
        <w:t>Emilim</w:t>
      </w:r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 xml:space="preserve">: </w:t>
      </w:r>
    </w:p>
    <w:p w14:paraId="2EB8260B" w14:textId="77777777" w:rsidR="009A5A6C" w:rsidRPr="008613C4" w:rsidRDefault="00633649" w:rsidP="003420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B</w:t>
      </w:r>
      <w:r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  <w:lang w:eastAsia="en-US"/>
        </w:rPr>
        <w:t>1</w:t>
      </w:r>
      <w:r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BE3191"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v</w:t>
      </w:r>
      <w:r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itamini birçok gıdada, biyolojik olarak aktif formda, </w:t>
      </w:r>
      <w:proofErr w:type="spellStart"/>
      <w:r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tiaminpirofosfat</w:t>
      </w:r>
      <w:proofErr w:type="spellEnd"/>
      <w:r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olarak bulunur.</w:t>
      </w:r>
      <w:r w:rsidR="002648E8"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342057"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B</w:t>
      </w:r>
      <w:r w:rsidR="00342057"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  <w:lang w:eastAsia="en-US"/>
        </w:rPr>
        <w:t>1</w:t>
      </w:r>
      <w:r w:rsidR="00342057"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vitamini, büyük kısmı proksimal ince bağırsakta olmak üzere insanlarda hızlı </w:t>
      </w:r>
      <w:proofErr w:type="spellStart"/>
      <w:r w:rsidR="00342057"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absorbe</w:t>
      </w:r>
      <w:proofErr w:type="spellEnd"/>
      <w:r w:rsidR="00342057"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olur. Bir tanesi düşük fizyolojik konsantrasyonlarda (&lt; 2 </w:t>
      </w:r>
      <w:proofErr w:type="spellStart"/>
      <w:r w:rsidR="00342057"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pm</w:t>
      </w:r>
      <w:proofErr w:type="spellEnd"/>
      <w:r w:rsidR="00342057"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) bir taşıyıcı (</w:t>
      </w:r>
      <w:proofErr w:type="spellStart"/>
      <w:r w:rsidR="00342057"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carrier</w:t>
      </w:r>
      <w:proofErr w:type="spellEnd"/>
      <w:r w:rsidR="00342057"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) temelli taşıma yoluyla, diğeri ise daha yüksek konsantrasyonlarda pasif </w:t>
      </w:r>
      <w:proofErr w:type="spellStart"/>
      <w:r w:rsidR="00342057"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difuzyon</w:t>
      </w:r>
      <w:proofErr w:type="spellEnd"/>
      <w:r w:rsidR="00342057" w:rsidRPr="008613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yoluyla gerçekleşen iki mekanizma vardır. Absorpsiyon genellikle yüksektir, ancak insanlardaki intestinal absorpsiyon hız açısından sınırlıdır.</w:t>
      </w:r>
    </w:p>
    <w:p w14:paraId="69983D0D" w14:textId="77777777" w:rsidR="00342057" w:rsidRPr="008613C4" w:rsidRDefault="00342057" w:rsidP="003420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6AF963" w14:textId="77777777" w:rsidR="002648E8" w:rsidRPr="008613C4" w:rsidRDefault="00202C05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613C4">
        <w:rPr>
          <w:rFonts w:ascii="Times-Roman" w:hAnsi="Times-Roman" w:cs="Times-Roman"/>
          <w:color w:val="000000" w:themeColor="text1"/>
          <w:sz w:val="24"/>
          <w:szCs w:val="24"/>
          <w:u w:val="single"/>
        </w:rPr>
        <w:t>Da</w:t>
      </w:r>
      <w:r w:rsidRPr="008613C4">
        <w:rPr>
          <w:rFonts w:ascii="TTE7F964A0t00" w:hAnsi="TTE7F964A0t00" w:cs="TTE7F964A0t00"/>
          <w:color w:val="000000" w:themeColor="text1"/>
          <w:sz w:val="24"/>
          <w:szCs w:val="24"/>
          <w:u w:val="single"/>
        </w:rPr>
        <w:t>ğ</w:t>
      </w:r>
      <w:r w:rsidRPr="008613C4">
        <w:rPr>
          <w:rFonts w:ascii="Times-Roman" w:hAnsi="Times-Roman" w:cs="Times-Roman"/>
          <w:color w:val="000000" w:themeColor="text1"/>
          <w:sz w:val="24"/>
          <w:szCs w:val="24"/>
          <w:u w:val="single"/>
        </w:rPr>
        <w:t>ılım:</w:t>
      </w:r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</w:p>
    <w:p w14:paraId="72EE0063" w14:textId="77777777" w:rsidR="003A2248" w:rsidRPr="008613C4" w:rsidRDefault="00C67A3A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 xml:space="preserve">Lipid çözünür ön ilaç </w:t>
      </w:r>
      <w:proofErr w:type="spellStart"/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>benfotiaminin</w:t>
      </w:r>
      <w:proofErr w:type="spellEnd"/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 xml:space="preserve"> oral yoldan </w:t>
      </w:r>
      <w:r w:rsidR="0033305B" w:rsidRPr="008613C4">
        <w:rPr>
          <w:rFonts w:ascii="Times-Roman" w:hAnsi="Times-Roman" w:cs="Times-Roman"/>
          <w:color w:val="000000" w:themeColor="text1"/>
          <w:sz w:val="24"/>
          <w:szCs w:val="24"/>
        </w:rPr>
        <w:t>uygulanmasın</w:t>
      </w:r>
      <w:r w:rsidR="00305C66" w:rsidRPr="008613C4">
        <w:rPr>
          <w:rFonts w:ascii="Times-Roman" w:hAnsi="Times-Roman" w:cs="Times-Roman"/>
          <w:color w:val="000000" w:themeColor="text1"/>
          <w:sz w:val="24"/>
          <w:szCs w:val="24"/>
        </w:rPr>
        <w:t>ın ardından</w:t>
      </w:r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>, fosfatazlar bağırsakta yağda çözünen S-</w:t>
      </w:r>
      <w:proofErr w:type="spellStart"/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>benzoiltiamin</w:t>
      </w:r>
      <w:proofErr w:type="spellEnd"/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 xml:space="preserve"> (SBT) </w:t>
      </w:r>
      <w:proofErr w:type="spellStart"/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>fosforilat</w:t>
      </w:r>
      <w:r w:rsidR="00DA3534" w:rsidRPr="008613C4">
        <w:rPr>
          <w:rFonts w:ascii="Times-Roman" w:hAnsi="Times-Roman" w:cs="Times-Roman"/>
          <w:color w:val="000000" w:themeColor="text1"/>
          <w:sz w:val="24"/>
          <w:szCs w:val="24"/>
        </w:rPr>
        <w:t>a</w:t>
      </w:r>
      <w:proofErr w:type="spellEnd"/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="00DA3534" w:rsidRPr="008613C4">
        <w:rPr>
          <w:rFonts w:ascii="Times-Roman" w:hAnsi="Times-Roman" w:cs="Times-Roman"/>
          <w:color w:val="000000" w:themeColor="text1"/>
          <w:sz w:val="24"/>
          <w:szCs w:val="24"/>
        </w:rPr>
        <w:t>dönüşür</w:t>
      </w:r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>.</w:t>
      </w:r>
      <w:r w:rsidR="00517AC1" w:rsidRPr="008613C4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>Bu, suda çözünür tiamin türevlerinden daha iyi emilir ve dolaşımdaki kandan hücre iç</w:t>
      </w:r>
      <w:r w:rsidR="007E00C2" w:rsidRPr="008613C4">
        <w:rPr>
          <w:rFonts w:ascii="Times-Roman" w:hAnsi="Times-Roman" w:cs="Times-Roman"/>
          <w:color w:val="000000" w:themeColor="text1"/>
          <w:sz w:val="24"/>
          <w:szCs w:val="24"/>
        </w:rPr>
        <w:t>ine</w:t>
      </w:r>
      <w:r w:rsidR="006D3F38" w:rsidRPr="008613C4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 xml:space="preserve">geçer. </w:t>
      </w:r>
      <w:r w:rsidR="00BA029A" w:rsidRPr="008613C4">
        <w:rPr>
          <w:rFonts w:ascii="Times-Roman" w:hAnsi="Times-Roman" w:cs="Times-Roman"/>
          <w:color w:val="000000" w:themeColor="text1"/>
          <w:sz w:val="24"/>
          <w:szCs w:val="24"/>
        </w:rPr>
        <w:t>Tiamin</w:t>
      </w:r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 xml:space="preserve"> daha sonra aktif koenzim formunda </w:t>
      </w:r>
      <w:proofErr w:type="spellStart"/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>tiamin</w:t>
      </w:r>
      <w:r w:rsidR="00B340E8" w:rsidRPr="008613C4">
        <w:rPr>
          <w:rFonts w:ascii="Times-Roman" w:hAnsi="Times-Roman" w:cs="Times-Roman"/>
          <w:color w:val="000000" w:themeColor="text1"/>
          <w:sz w:val="24"/>
          <w:szCs w:val="24"/>
        </w:rPr>
        <w:t>difosfo</w:t>
      </w:r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>kinaz</w:t>
      </w:r>
      <w:proofErr w:type="spellEnd"/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 xml:space="preserve"> ile</w:t>
      </w:r>
      <w:r w:rsidR="00B340E8" w:rsidRPr="008613C4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proofErr w:type="spellStart"/>
      <w:r w:rsidR="00B340E8" w:rsidRPr="008613C4">
        <w:rPr>
          <w:rFonts w:ascii="Times-Roman" w:hAnsi="Times-Roman" w:cs="Times-Roman"/>
          <w:color w:val="000000" w:themeColor="text1"/>
          <w:sz w:val="24"/>
          <w:szCs w:val="24"/>
        </w:rPr>
        <w:t>tiamindifosfat</w:t>
      </w:r>
      <w:proofErr w:type="spellEnd"/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="00342057" w:rsidRPr="008613C4">
        <w:rPr>
          <w:rFonts w:ascii="Times-Roman" w:hAnsi="Times-Roman" w:cs="Times-Roman"/>
          <w:color w:val="000000" w:themeColor="text1"/>
          <w:sz w:val="24"/>
          <w:szCs w:val="24"/>
        </w:rPr>
        <w:t>ve</w:t>
      </w:r>
      <w:r w:rsidR="00B340E8" w:rsidRPr="008613C4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proofErr w:type="spellStart"/>
      <w:r w:rsidR="00B340E8" w:rsidRPr="008613C4">
        <w:rPr>
          <w:rFonts w:ascii="Times-Roman" w:hAnsi="Times-Roman" w:cs="Times-Roman"/>
          <w:color w:val="000000" w:themeColor="text1"/>
          <w:sz w:val="24"/>
          <w:szCs w:val="24"/>
        </w:rPr>
        <w:t>kokarboksilaz</w:t>
      </w:r>
      <w:r w:rsidR="00087E5B" w:rsidRPr="008613C4">
        <w:rPr>
          <w:rFonts w:ascii="Times-Roman" w:hAnsi="Times-Roman" w:cs="Times-Roman"/>
          <w:color w:val="000000" w:themeColor="text1"/>
          <w:sz w:val="24"/>
          <w:szCs w:val="24"/>
        </w:rPr>
        <w:t>e</w:t>
      </w:r>
      <w:proofErr w:type="spellEnd"/>
      <w:r w:rsidR="00B340E8" w:rsidRPr="008613C4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613C4">
        <w:rPr>
          <w:rFonts w:ascii="Times-Roman" w:hAnsi="Times-Roman" w:cs="Times-Roman"/>
          <w:color w:val="000000" w:themeColor="text1"/>
          <w:sz w:val="24"/>
          <w:szCs w:val="24"/>
        </w:rPr>
        <w:t>dönüştürülür.</w:t>
      </w:r>
      <w:r w:rsidR="007B6C48" w:rsidRPr="008613C4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proofErr w:type="spellStart"/>
      <w:r w:rsidR="007B6C48" w:rsidRPr="008613C4">
        <w:rPr>
          <w:rFonts w:ascii="Times-Roman" w:hAnsi="Times-Roman" w:cs="Times-Roman"/>
          <w:color w:val="000000" w:themeColor="text1"/>
          <w:sz w:val="24"/>
          <w:szCs w:val="24"/>
        </w:rPr>
        <w:t>Benfotiamin</w:t>
      </w:r>
      <w:proofErr w:type="spellEnd"/>
      <w:r w:rsidR="007B6C48" w:rsidRPr="008613C4">
        <w:rPr>
          <w:rFonts w:ascii="Times-Roman" w:hAnsi="Times-Roman" w:cs="Times-Roman"/>
          <w:color w:val="000000" w:themeColor="text1"/>
          <w:sz w:val="24"/>
          <w:szCs w:val="24"/>
        </w:rPr>
        <w:t xml:space="preserve"> ile daha yüksek hücre içi konsantrasyonlara sahip tiamin ve aktif koenzimlerin birlikte uygulanması oral yolla uygulanan suda çözünür tiamin türevlerinden daha etkilidir.</w:t>
      </w:r>
    </w:p>
    <w:p w14:paraId="2F91C35D" w14:textId="77777777" w:rsidR="006D3F38" w:rsidRPr="008613C4" w:rsidRDefault="006D3F38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14:paraId="060081C2" w14:textId="77777777" w:rsidR="002648E8" w:rsidRPr="008613C4" w:rsidRDefault="00BD25E5" w:rsidP="002648E8">
      <w:pPr>
        <w:autoSpaceDE w:val="0"/>
        <w:autoSpaceDN w:val="0"/>
        <w:adjustRightInd w:val="0"/>
        <w:spacing w:after="0" w:line="360" w:lineRule="auto"/>
        <w:jc w:val="both"/>
        <w:rPr>
          <w:color w:val="000000" w:themeColor="text1"/>
        </w:rPr>
      </w:pPr>
      <w:r w:rsidRPr="008613C4">
        <w:rPr>
          <w:rFonts w:ascii="Times-Roman" w:hAnsi="Times-Roman" w:cs="Times-Roman"/>
          <w:color w:val="000000" w:themeColor="text1"/>
          <w:sz w:val="24"/>
          <w:szCs w:val="24"/>
          <w:u w:val="single"/>
        </w:rPr>
        <w:t>Biyotransformasyon:</w:t>
      </w:r>
      <w:r w:rsidR="00D1388C" w:rsidRPr="008613C4">
        <w:rPr>
          <w:color w:val="000000" w:themeColor="text1"/>
        </w:rPr>
        <w:t xml:space="preserve"> </w:t>
      </w:r>
    </w:p>
    <w:p w14:paraId="5C7EA114" w14:textId="77777777" w:rsidR="00BD25E5" w:rsidRPr="008613C4" w:rsidRDefault="00D1388C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Organizmada günde 1 mg tiamin </w:t>
      </w:r>
      <w:r w:rsidR="00612B05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metabolize edilir.</w:t>
      </w:r>
    </w:p>
    <w:p w14:paraId="00F65F8D" w14:textId="77777777" w:rsidR="00BD25E5" w:rsidRPr="008613C4" w:rsidRDefault="00BD25E5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14:paraId="06BC4B30" w14:textId="77777777" w:rsidR="002648E8" w:rsidRPr="008613C4" w:rsidRDefault="00BD25E5" w:rsidP="002648E8">
      <w:pPr>
        <w:autoSpaceDE w:val="0"/>
        <w:autoSpaceDN w:val="0"/>
        <w:adjustRightInd w:val="0"/>
        <w:spacing w:after="0" w:line="360" w:lineRule="auto"/>
        <w:jc w:val="both"/>
        <w:rPr>
          <w:color w:val="000000" w:themeColor="text1"/>
        </w:rPr>
      </w:pPr>
      <w:r w:rsidRPr="008613C4">
        <w:rPr>
          <w:rFonts w:ascii="Times-Roman" w:hAnsi="Times-Roman" w:cs="Times-Roman"/>
          <w:color w:val="000000" w:themeColor="text1"/>
          <w:sz w:val="24"/>
          <w:szCs w:val="24"/>
          <w:u w:val="single"/>
        </w:rPr>
        <w:t>Eliminasyon:</w:t>
      </w:r>
      <w:r w:rsidR="00B311F8" w:rsidRPr="008613C4">
        <w:rPr>
          <w:color w:val="000000" w:themeColor="text1"/>
        </w:rPr>
        <w:t xml:space="preserve"> </w:t>
      </w:r>
    </w:p>
    <w:p w14:paraId="009D354D" w14:textId="77777777" w:rsidR="0025655E" w:rsidRPr="008613C4" w:rsidRDefault="00D618F0" w:rsidP="002648E8">
      <w:pPr>
        <w:autoSpaceDE w:val="0"/>
        <w:autoSpaceDN w:val="0"/>
        <w:adjustRightInd w:val="0"/>
        <w:spacing w:after="0" w:line="360" w:lineRule="auto"/>
        <w:jc w:val="both"/>
        <w:rPr>
          <w:color w:val="000000" w:themeColor="text1"/>
        </w:rPr>
      </w:pP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Benfotiaminin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emilimi,</w:t>
      </w:r>
      <w:r w:rsidR="008014B2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7E5B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tiaminden farklı olarak yağda çözünmediğinden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doz ile orantılıdır</w:t>
      </w:r>
      <w:r w:rsidR="008014B2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14B2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Tiamine göre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doyma kinetiğine tabi değildir.</w:t>
      </w:r>
      <w:r w:rsidRPr="008613C4">
        <w:rPr>
          <w:color w:val="000000" w:themeColor="text1"/>
        </w:rPr>
        <w:t xml:space="preserve"> </w:t>
      </w:r>
      <w:r w:rsidR="00B311F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İdrar</w:t>
      </w:r>
      <w:r w:rsidR="008014B2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</w:t>
      </w:r>
      <w:r w:rsidR="00B311F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fazla miktarda tiamin atılır.</w:t>
      </w:r>
    </w:p>
    <w:p w14:paraId="2A12872E" w14:textId="77777777" w:rsidR="00E64F15" w:rsidRPr="008613C4" w:rsidRDefault="00E64F15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D8B463" w14:textId="77777777" w:rsidR="00C6222E" w:rsidRPr="008613C4" w:rsidRDefault="00C6222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5.3. Kl</w:t>
      </w:r>
      <w:r w:rsidR="00AC7D0C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inik öncesi güvenlilik verileri</w:t>
      </w:r>
    </w:p>
    <w:p w14:paraId="4B8CF7EE" w14:textId="77777777" w:rsidR="00E63D62" w:rsidRPr="008613C4" w:rsidRDefault="00E63D6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Akut, </w:t>
      </w:r>
      <w:proofErr w:type="spellStart"/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subkronik</w:t>
      </w:r>
      <w:proofErr w:type="spellEnd"/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ve kronik toksisite</w:t>
      </w:r>
    </w:p>
    <w:p w14:paraId="7A10479D" w14:textId="77777777" w:rsidR="00E63D62" w:rsidRPr="008613C4" w:rsidRDefault="00E63D6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Hayvanlarda, çok yüksek B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vitamini dozları bradikardiye neden olur. </w:t>
      </w:r>
    </w:p>
    <w:p w14:paraId="5D98504A" w14:textId="77777777" w:rsidR="009A7AF4" w:rsidRPr="008613C4" w:rsidRDefault="00FA698F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Kronik toksisite çalışmalarında 100 mg/kg dozlarında organlarda patolojik değişikliklere rastlanma</w:t>
      </w:r>
      <w:r w:rsidR="00F7206E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mıştır.</w:t>
      </w:r>
    </w:p>
    <w:p w14:paraId="374D0345" w14:textId="77777777" w:rsidR="00954F00" w:rsidRPr="008613C4" w:rsidRDefault="00954F00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83467C" w14:textId="77777777" w:rsidR="00E63D62" w:rsidRPr="008613C4" w:rsidRDefault="00E63D6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Mutajenik ve </w:t>
      </w:r>
      <w:proofErr w:type="spellStart"/>
      <w:r w:rsidR="00C65AEE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tümoro</w:t>
      </w: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jenik</w:t>
      </w:r>
      <w:proofErr w:type="spellEnd"/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potansiyel</w:t>
      </w:r>
    </w:p>
    <w:p w14:paraId="6733C369" w14:textId="77777777" w:rsidR="00E63D62" w:rsidRPr="008613C4" w:rsidRDefault="00E63D6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Klinik kullanım koşulları altında, B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vitamininin mutajenik etkileri</w:t>
      </w:r>
      <w:r w:rsidR="00A03F0A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nin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ortaya çıkması beklenmemektedir.</w:t>
      </w:r>
    </w:p>
    <w:p w14:paraId="47DC6E1B" w14:textId="77777777" w:rsidR="00E63D62" w:rsidRPr="008613C4" w:rsidRDefault="00E63D6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vitamini</w:t>
      </w:r>
      <w:r w:rsidR="00B861EE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nin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3F0A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tümorojenik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potansiyeli üzerine uzun süreli hayvan çalışmaları mevcut değildir.</w:t>
      </w:r>
    </w:p>
    <w:p w14:paraId="072556FC" w14:textId="77777777" w:rsidR="009F0DC1" w:rsidRDefault="009F0DC1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</w:p>
    <w:p w14:paraId="30805F18" w14:textId="0A695D1A" w:rsidR="00E63D62" w:rsidRPr="008613C4" w:rsidRDefault="00C65AE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Ü</w:t>
      </w:r>
      <w:r w:rsidR="00E63D62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reme</w:t>
      </w: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</w:t>
      </w:r>
      <w:r w:rsidR="00E63D62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toksisitesi</w:t>
      </w:r>
    </w:p>
    <w:p w14:paraId="47CCEF90" w14:textId="77777777" w:rsidR="00C6222E" w:rsidRPr="008613C4" w:rsidRDefault="00E63D6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vitamini aktif olarak fetusa taşınır.</w:t>
      </w:r>
      <w:r w:rsidR="002648E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5AEE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etus ve yenidoğan konsantrasyonları </w:t>
      </w:r>
      <w:r w:rsidR="00BF68A0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anne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vitamini konsantrasyonları üzerinde bulunmaktadır.</w:t>
      </w:r>
      <w:r w:rsidR="002648E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Yüksek dozlarda B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C65AEE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vitamini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verilmesiyle ilgili </w:t>
      </w:r>
      <w:r w:rsidR="00C65AEE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ayvanlar üzerinde yapılan</w:t>
      </w:r>
      <w:r w:rsidR="00C65AEE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çalışmalar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yetersizdir</w:t>
      </w:r>
      <w:r w:rsidR="00C65AEE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0F4AF8" w14:textId="77777777" w:rsidR="00C65AEE" w:rsidRPr="008613C4" w:rsidRDefault="00C65AE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11BBD5E7" w14:textId="77777777" w:rsidR="00C6222E" w:rsidRPr="008613C4" w:rsidRDefault="00AC7D0C" w:rsidP="002648E8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r w:rsidR="00C6222E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FARMASÖT</w:t>
      </w:r>
      <w:r w:rsidR="00202C05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="00C6222E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 ÖZELL</w:t>
      </w:r>
      <w:r w:rsidR="00202C05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KLER</w:t>
      </w:r>
    </w:p>
    <w:p w14:paraId="6E09AF2B" w14:textId="77777777" w:rsidR="00D94AC5" w:rsidRPr="008613C4" w:rsidRDefault="00C6222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6.1. Yardım</w:t>
      </w:r>
      <w:r w:rsidR="00AC7D0C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cı maddelerin listesi</w:t>
      </w:r>
    </w:p>
    <w:p w14:paraId="049203EE" w14:textId="77777777" w:rsidR="00C65AEE" w:rsidRPr="008613C4" w:rsidRDefault="00C65AEE" w:rsidP="002648E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Mikrokristalin selüloz</w:t>
      </w:r>
    </w:p>
    <w:p w14:paraId="70AD65F3" w14:textId="77777777" w:rsidR="00C65AEE" w:rsidRPr="008613C4" w:rsidRDefault="00D94AC5" w:rsidP="002648E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Povidon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 30</w:t>
      </w:r>
    </w:p>
    <w:p w14:paraId="472D06B9" w14:textId="77777777" w:rsidR="00857420" w:rsidRPr="008613C4" w:rsidRDefault="00857420" w:rsidP="002648E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Kroskarmeloz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sodyum</w:t>
      </w:r>
    </w:p>
    <w:p w14:paraId="2567D355" w14:textId="77777777" w:rsidR="00BC6121" w:rsidRPr="008613C4" w:rsidRDefault="00BC6121" w:rsidP="002648E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Kolloidal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anhidrus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silika</w:t>
      </w:r>
    </w:p>
    <w:p w14:paraId="1B231B7A" w14:textId="77777777" w:rsidR="00857420" w:rsidRPr="008613C4" w:rsidRDefault="00857420" w:rsidP="002648E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Talk </w:t>
      </w:r>
    </w:p>
    <w:p w14:paraId="2CE1E89E" w14:textId="77777777" w:rsidR="00EF312A" w:rsidRPr="008613C4" w:rsidRDefault="00BC6121" w:rsidP="002648E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Magnezyum </w:t>
      </w:r>
      <w:proofErr w:type="spellStart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stearat</w:t>
      </w:r>
      <w:proofErr w:type="spellEnd"/>
    </w:p>
    <w:p w14:paraId="71A5D24F" w14:textId="77777777" w:rsidR="002648E8" w:rsidRPr="008613C4" w:rsidRDefault="002648E8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Sodyum </w:t>
      </w:r>
      <w:proofErr w:type="spellStart"/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sakkarin</w:t>
      </w:r>
      <w:proofErr w:type="spellEnd"/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1820389" w14:textId="77777777" w:rsidR="00D94AC5" w:rsidRPr="008613C4" w:rsidRDefault="003D01B8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Opadry</w:t>
      </w:r>
      <w:proofErr w:type="spellEnd"/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Beyaz 03F180011</w:t>
      </w:r>
      <w:r w:rsidR="00502330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3571E"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içeriği;</w:t>
      </w:r>
    </w:p>
    <w:p w14:paraId="73CE425C" w14:textId="77777777" w:rsidR="00317A85" w:rsidRPr="008613C4" w:rsidRDefault="00317A85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Hidroksi </w:t>
      </w:r>
      <w:proofErr w:type="spellStart"/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propil</w:t>
      </w:r>
      <w:proofErr w:type="spellEnd"/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metil selüloz </w:t>
      </w:r>
    </w:p>
    <w:p w14:paraId="4AD4A7FA" w14:textId="77777777" w:rsidR="00317A85" w:rsidRPr="008613C4" w:rsidRDefault="00317A85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Titanyum dioksit </w:t>
      </w:r>
    </w:p>
    <w:p w14:paraId="5B3CFE0E" w14:textId="77777777" w:rsidR="00EF312A" w:rsidRPr="008613C4" w:rsidRDefault="00317A85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Makrogol</w:t>
      </w:r>
      <w:proofErr w:type="spellEnd"/>
      <w:r w:rsidRPr="008613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7662611" w14:textId="77777777" w:rsidR="00E64F15" w:rsidRPr="008613C4" w:rsidRDefault="00E64F15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4CF3465" w14:textId="77777777" w:rsidR="00C6222E" w:rsidRPr="008613C4" w:rsidRDefault="00AC7D0C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6.2. Geçimsizlikler</w:t>
      </w:r>
    </w:p>
    <w:p w14:paraId="1C19AE7B" w14:textId="77777777" w:rsidR="00C6222E" w:rsidRPr="008613C4" w:rsidRDefault="00202C05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Bil</w:t>
      </w:r>
      <w:r w:rsidR="00466D17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inen herhangi bir geçimsizliği bulunmamaktadır.</w:t>
      </w:r>
    </w:p>
    <w:p w14:paraId="20476978" w14:textId="77777777" w:rsidR="00C6222E" w:rsidRPr="008613C4" w:rsidRDefault="00C6222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EA5F0B1" w14:textId="77777777" w:rsidR="00C6222E" w:rsidRPr="008613C4" w:rsidRDefault="00AC7D0C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6.3. Raf ömrü</w:t>
      </w:r>
    </w:p>
    <w:p w14:paraId="6F0F96CE" w14:textId="77777777" w:rsidR="00C6222E" w:rsidRPr="008613C4" w:rsidRDefault="00101B1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24F0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222E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ay</w:t>
      </w:r>
    </w:p>
    <w:p w14:paraId="44195B3D" w14:textId="77777777" w:rsidR="00C6222E" w:rsidRPr="008613C4" w:rsidRDefault="00C6222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CE1D7C" w14:textId="77777777" w:rsidR="00C6222E" w:rsidRPr="008613C4" w:rsidRDefault="00C6222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6.4. S</w:t>
      </w:r>
      <w:r w:rsidR="00AC7D0C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aklamaya yönelik özel tedbirler</w:t>
      </w:r>
    </w:p>
    <w:p w14:paraId="4D4DEE38" w14:textId="77777777" w:rsidR="00C6222E" w:rsidRPr="008613C4" w:rsidRDefault="00C6222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C’nin altındaki oda </w:t>
      </w:r>
      <w:r w:rsidR="00202C05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sıcaklığında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saklayınız.</w:t>
      </w:r>
      <w:r w:rsidR="00607D3C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Nemden koruyunuz.</w:t>
      </w:r>
    </w:p>
    <w:p w14:paraId="41B8C1D2" w14:textId="77777777" w:rsidR="009A7AF4" w:rsidRPr="008613C4" w:rsidRDefault="009A7AF4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F06935" w14:textId="77777777" w:rsidR="00C6222E" w:rsidRPr="008613C4" w:rsidRDefault="00C6222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6.5. Ambalajın </w:t>
      </w:r>
      <w:r w:rsidR="003B2E3B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niteli</w:t>
      </w:r>
      <w:r w:rsidR="003B2E3B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ğ</w:t>
      </w:r>
      <w:r w:rsidR="003B2E3B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ve </w:t>
      </w:r>
      <w:r w:rsidR="003B2E3B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içeri</w:t>
      </w:r>
      <w:r w:rsidR="003B2E3B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ğ</w:t>
      </w:r>
      <w:r w:rsidR="003B2E3B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</w:p>
    <w:p w14:paraId="0D0100E1" w14:textId="424B15E6" w:rsidR="004E2245" w:rsidRPr="00887248" w:rsidRDefault="00F7537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BENFODİAN </w:t>
      </w:r>
      <w:r w:rsidR="0025575A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150 </w:t>
      </w:r>
      <w:r w:rsidR="0025575A" w:rsidRPr="00B63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mg Film </w:t>
      </w:r>
      <w:r w:rsidR="00987891" w:rsidRPr="00B63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Kaplı </w:t>
      </w:r>
      <w:r w:rsidR="0025575A" w:rsidRPr="00B63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Tablet adlı </w:t>
      </w:r>
      <w:r w:rsidR="0025575A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ürünümüz </w:t>
      </w:r>
      <w:proofErr w:type="spellStart"/>
      <w:r w:rsidR="0025575A" w:rsidRPr="00887248">
        <w:rPr>
          <w:rFonts w:ascii="Times New Roman" w:hAnsi="Times New Roman" w:cs="Times New Roman"/>
          <w:color w:val="000000" w:themeColor="text1"/>
          <w:sz w:val="24"/>
          <w:szCs w:val="24"/>
        </w:rPr>
        <w:t>Alu</w:t>
      </w:r>
      <w:proofErr w:type="spellEnd"/>
      <w:r w:rsidR="0025575A" w:rsidRPr="00887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-PVC/PVDC </w:t>
      </w:r>
      <w:proofErr w:type="spellStart"/>
      <w:r w:rsidR="0025575A" w:rsidRPr="00887248">
        <w:rPr>
          <w:rFonts w:ascii="Times New Roman" w:hAnsi="Times New Roman" w:cs="Times New Roman"/>
          <w:color w:val="000000" w:themeColor="text1"/>
          <w:sz w:val="24"/>
          <w:szCs w:val="24"/>
        </w:rPr>
        <w:t>blister</w:t>
      </w:r>
      <w:proofErr w:type="spellEnd"/>
      <w:r w:rsidR="0025575A" w:rsidRPr="00887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içinde ambalajlanır.</w:t>
      </w:r>
      <w:r w:rsidR="0025575A" w:rsidRPr="008872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5575A" w:rsidRPr="00887248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Her karton kutu, bir kullanma talimatı ile birlikte 30 film tablet içerir.</w:t>
      </w:r>
    </w:p>
    <w:p w14:paraId="7A8B7D6B" w14:textId="77777777" w:rsidR="0025575A" w:rsidRPr="008613C4" w:rsidRDefault="0025575A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654722" w14:textId="77777777" w:rsidR="009F0DC1" w:rsidRDefault="009F0DC1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046080" w14:textId="77777777" w:rsidR="009F0DC1" w:rsidRDefault="009F0DC1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576F3A" w14:textId="7BCFC1BD" w:rsidR="00C6222E" w:rsidRPr="008613C4" w:rsidRDefault="00C6222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6.6. </w:t>
      </w:r>
      <w:r w:rsidR="003B2E3B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</w:t>
      </w:r>
      <w:r w:rsidR="003B2E3B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ş</w:t>
      </w:r>
      <w:r w:rsidR="003B2E3B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eri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tıbbi üründen arta kalan maddelerin imhası ve </w:t>
      </w:r>
      <w:r w:rsidR="003B2E3B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</w:t>
      </w:r>
      <w:r w:rsidR="003B2E3B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ğ</w:t>
      </w:r>
      <w:r w:rsidR="003B2E3B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</w:t>
      </w:r>
      <w:r w:rsidR="00AC7D0C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özel önlemler</w:t>
      </w:r>
    </w:p>
    <w:p w14:paraId="3952D990" w14:textId="77777777" w:rsidR="00C6222E" w:rsidRPr="008613C4" w:rsidRDefault="003B2E3B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Kullanılmamış</w:t>
      </w:r>
      <w:r w:rsidR="00C6222E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olan ürünler ya da atık materyaller “Tıbbi Atıkların Kontrolü 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Yönetmeliği</w:t>
      </w:r>
      <w:r w:rsidR="00C6222E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” ve</w:t>
      </w:r>
    </w:p>
    <w:p w14:paraId="3A714CD1" w14:textId="5DCEF84C" w:rsidR="00C6222E" w:rsidRPr="008613C4" w:rsidRDefault="00C6222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“Ambalaj Atıkları</w:t>
      </w:r>
      <w:r w:rsidR="00466D17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nın</w:t>
      </w: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Kontrolü </w:t>
      </w:r>
      <w:proofErr w:type="spellStart"/>
      <w:r w:rsidR="003B2E3B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Yönetmel</w:t>
      </w:r>
      <w:r w:rsidR="00466D17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ikleri</w:t>
      </w:r>
      <w:r w:rsidR="003B2E3B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”ne</w:t>
      </w:r>
      <w:proofErr w:type="spellEnd"/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uygun olarak imha edilmelidir.</w:t>
      </w:r>
    </w:p>
    <w:p w14:paraId="279CD029" w14:textId="77777777" w:rsidR="009A5A6C" w:rsidRPr="008613C4" w:rsidRDefault="009A5A6C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EA6D64" w14:textId="77777777" w:rsidR="00C6222E" w:rsidRPr="008613C4" w:rsidRDefault="00C6222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RUHSAT SAH</w:t>
      </w:r>
      <w:r w:rsidR="003B2E3B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="003B2E3B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</w:p>
    <w:p w14:paraId="710315F2" w14:textId="77777777" w:rsidR="00F7537E" w:rsidRPr="00D05BC7" w:rsidRDefault="00F7537E" w:rsidP="00F7537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360" w:lineRule="auto"/>
        <w:ind w:right="1371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D05BC7">
        <w:rPr>
          <w:rFonts w:ascii="Times New Roman" w:eastAsia="Calibri" w:hAnsi="Times New Roman"/>
          <w:color w:val="000000" w:themeColor="text1"/>
          <w:sz w:val="24"/>
          <w:szCs w:val="24"/>
        </w:rPr>
        <w:t>TAB İlaç San. A.Ş.</w:t>
      </w:r>
    </w:p>
    <w:p w14:paraId="1E6DC8B9" w14:textId="77777777" w:rsidR="00F7537E" w:rsidRPr="00D05BC7" w:rsidRDefault="00F7537E" w:rsidP="00F7537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360" w:lineRule="auto"/>
        <w:ind w:right="1371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D05BC7">
        <w:rPr>
          <w:rFonts w:ascii="Times New Roman" w:eastAsia="Calibri" w:hAnsi="Times New Roman"/>
          <w:color w:val="000000" w:themeColor="text1"/>
          <w:sz w:val="24"/>
          <w:szCs w:val="24"/>
        </w:rPr>
        <w:t>Akçaburgaz Mah. Akçaburgaz Cad. No: 42</w:t>
      </w:r>
    </w:p>
    <w:p w14:paraId="74BA1295" w14:textId="35CFB88B" w:rsidR="00F7537E" w:rsidRPr="00D05BC7" w:rsidRDefault="00F7537E" w:rsidP="00F7537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360" w:lineRule="auto"/>
        <w:ind w:right="1371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D05BC7">
        <w:rPr>
          <w:rFonts w:ascii="Times New Roman" w:eastAsia="Calibri" w:hAnsi="Times New Roman"/>
          <w:color w:val="000000" w:themeColor="text1"/>
          <w:sz w:val="24"/>
          <w:szCs w:val="24"/>
        </w:rPr>
        <w:t>E</w:t>
      </w:r>
      <w:r w:rsidR="00A86A9C">
        <w:rPr>
          <w:rFonts w:ascii="Times New Roman" w:eastAsia="Calibri" w:hAnsi="Times New Roman"/>
          <w:color w:val="000000" w:themeColor="text1"/>
          <w:sz w:val="24"/>
          <w:szCs w:val="24"/>
        </w:rPr>
        <w:t>senyurt</w:t>
      </w:r>
      <w:r w:rsidR="00170133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D05BC7">
        <w:rPr>
          <w:rFonts w:ascii="Times New Roman" w:eastAsia="Calibri" w:hAnsi="Times New Roman"/>
          <w:color w:val="000000" w:themeColor="text1"/>
          <w:sz w:val="24"/>
          <w:szCs w:val="24"/>
        </w:rPr>
        <w:t>/ İ</w:t>
      </w:r>
      <w:r w:rsidR="00170133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STANBUL </w:t>
      </w:r>
    </w:p>
    <w:p w14:paraId="2167D2DF" w14:textId="77777777" w:rsidR="00F7537E" w:rsidRPr="00D05BC7" w:rsidRDefault="00F7537E" w:rsidP="00F7537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360" w:lineRule="auto"/>
        <w:ind w:right="1371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D05BC7">
        <w:rPr>
          <w:rFonts w:ascii="Times New Roman" w:eastAsia="Calibri" w:hAnsi="Times New Roman"/>
          <w:color w:val="000000" w:themeColor="text1"/>
          <w:sz w:val="24"/>
          <w:szCs w:val="24"/>
        </w:rPr>
        <w:t>Tel: +90 212 438 70 83</w:t>
      </w:r>
    </w:p>
    <w:p w14:paraId="2711687D" w14:textId="77777777" w:rsidR="00F7537E" w:rsidRPr="00D05BC7" w:rsidRDefault="00F7537E" w:rsidP="00F7537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360" w:lineRule="auto"/>
        <w:ind w:right="1371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D05BC7">
        <w:rPr>
          <w:rFonts w:ascii="Times New Roman" w:eastAsia="Calibri" w:hAnsi="Times New Roman"/>
          <w:color w:val="000000" w:themeColor="text1"/>
          <w:sz w:val="24"/>
          <w:szCs w:val="24"/>
        </w:rPr>
        <w:t>Faks: +90 212 438 70 84</w:t>
      </w:r>
    </w:p>
    <w:p w14:paraId="2C917B0B" w14:textId="77777777" w:rsidR="00ED1E1F" w:rsidRPr="008613C4" w:rsidRDefault="00ED1E1F" w:rsidP="002648E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360" w:lineRule="auto"/>
        <w:ind w:right="1371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642A1AFA" w14:textId="77777777" w:rsidR="00C6222E" w:rsidRDefault="00C6222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 RUHSAT NUMARASI</w:t>
      </w:r>
    </w:p>
    <w:p w14:paraId="184DB3E0" w14:textId="6D6CCB17" w:rsidR="002648E8" w:rsidRDefault="00245B42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109" w:rsidRPr="00FC1109">
        <w:rPr>
          <w:rFonts w:ascii="Times New Roman" w:hAnsi="Times New Roman" w:cs="Times New Roman"/>
          <w:color w:val="000000" w:themeColor="text1"/>
          <w:sz w:val="24"/>
          <w:szCs w:val="24"/>
        </w:rPr>
        <w:t>2025/451</w:t>
      </w:r>
    </w:p>
    <w:p w14:paraId="76A04D89" w14:textId="77777777" w:rsidR="00FC1109" w:rsidRPr="008613C4" w:rsidRDefault="00FC1109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FA500B" w14:textId="77777777" w:rsidR="00C6222E" w:rsidRPr="008613C4" w:rsidRDefault="00C6222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9. </w:t>
      </w:r>
      <w:r w:rsidR="003B2E3B" w:rsidRPr="00861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LK RUHSAT TAR</w:t>
      </w:r>
      <w:r w:rsidR="003B2E3B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3B2E3B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 RUHSAT YEN</w:t>
      </w:r>
      <w:r w:rsidR="003B2E3B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LEME TAR</w:t>
      </w:r>
      <w:r w:rsidR="003B2E3B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3B2E3B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</w:p>
    <w:p w14:paraId="58DDB4A0" w14:textId="74E2CC77" w:rsidR="00C6222E" w:rsidRPr="008613C4" w:rsidRDefault="003B2E3B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İ</w:t>
      </w:r>
      <w:r w:rsidR="002648E8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lk ruhsat tarihi</w:t>
      </w:r>
      <w:r w:rsidR="00C6222E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C1109" w:rsidRPr="00FC1109">
        <w:rPr>
          <w:rFonts w:ascii="Times New Roman" w:hAnsi="Times New Roman" w:cs="Times New Roman"/>
          <w:color w:val="000000" w:themeColor="text1"/>
          <w:sz w:val="24"/>
          <w:szCs w:val="24"/>
        </w:rPr>
        <w:t>24.10.2025</w:t>
      </w:r>
    </w:p>
    <w:p w14:paraId="4C673710" w14:textId="77777777" w:rsidR="00C6222E" w:rsidRPr="008613C4" w:rsidRDefault="002648E8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Ruhsat yenileme tarihi</w:t>
      </w:r>
      <w:r w:rsidR="00C6222E" w:rsidRPr="008613C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EB851F5" w14:textId="77777777" w:rsidR="00C6222E" w:rsidRPr="008613C4" w:rsidRDefault="00C6222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2CE21E" w14:textId="77777777" w:rsidR="00C6222E" w:rsidRPr="008613C4" w:rsidRDefault="00C6222E" w:rsidP="00264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 KÜB’ÜN YEN</w:t>
      </w:r>
      <w:r w:rsidR="003B2E3B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LENME TAR</w:t>
      </w:r>
      <w:r w:rsidR="003B2E3B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3B2E3B" w:rsidRPr="0086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</w:t>
      </w:r>
    </w:p>
    <w:sectPr w:rsidR="00C6222E" w:rsidRPr="008613C4" w:rsidSect="004E2245">
      <w:footerReference w:type="default" r:id="rId8"/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19931" w14:textId="77777777" w:rsidR="008930F5" w:rsidRDefault="008930F5" w:rsidP="00AB24B2">
      <w:pPr>
        <w:spacing w:after="0" w:line="240" w:lineRule="auto"/>
      </w:pPr>
      <w:r>
        <w:separator/>
      </w:r>
    </w:p>
  </w:endnote>
  <w:endnote w:type="continuationSeparator" w:id="0">
    <w:p w14:paraId="225B67F2" w14:textId="77777777" w:rsidR="008930F5" w:rsidRDefault="008930F5" w:rsidP="00AB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7F964A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02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F66DC1B" w14:textId="77777777" w:rsidR="004D5DD6" w:rsidRPr="00982C3A" w:rsidRDefault="004D5DD6" w:rsidP="005D2B15">
        <w:pPr>
          <w:pStyle w:val="AltBilgi"/>
          <w:jc w:val="center"/>
          <w:rPr>
            <w:rFonts w:ascii="Times New Roman" w:hAnsi="Times New Roman" w:cs="Times New Roman"/>
          </w:rPr>
        </w:pPr>
        <w:r w:rsidRPr="00982C3A">
          <w:rPr>
            <w:rFonts w:ascii="Times New Roman" w:hAnsi="Times New Roman" w:cs="Times New Roman"/>
          </w:rPr>
          <w:fldChar w:fldCharType="begin"/>
        </w:r>
        <w:r w:rsidRPr="00982C3A">
          <w:rPr>
            <w:rFonts w:ascii="Times New Roman" w:hAnsi="Times New Roman" w:cs="Times New Roman"/>
          </w:rPr>
          <w:instrText xml:space="preserve"> PAGE   \* MERGEFORMAT </w:instrText>
        </w:r>
        <w:r w:rsidRPr="00982C3A">
          <w:rPr>
            <w:rFonts w:ascii="Times New Roman" w:hAnsi="Times New Roman" w:cs="Times New Roman"/>
          </w:rPr>
          <w:fldChar w:fldCharType="separate"/>
        </w:r>
        <w:r w:rsidR="008613C4">
          <w:rPr>
            <w:rFonts w:ascii="Times New Roman" w:hAnsi="Times New Roman" w:cs="Times New Roman"/>
            <w:noProof/>
          </w:rPr>
          <w:t>8</w:t>
        </w:r>
        <w:r w:rsidRPr="00982C3A">
          <w:rPr>
            <w:rFonts w:ascii="Times New Roman" w:hAnsi="Times New Roman" w:cs="Times New Roman"/>
            <w:noProof/>
          </w:rPr>
          <w:fldChar w:fldCharType="end"/>
        </w:r>
        <w:r w:rsidR="00D845A1">
          <w:rPr>
            <w:rFonts w:ascii="Times New Roman" w:hAnsi="Times New Roman" w:cs="Times New Roman"/>
            <w:noProof/>
          </w:rPr>
          <w:t>/</w:t>
        </w:r>
        <w:r w:rsidR="00954F00">
          <w:rPr>
            <w:rFonts w:ascii="Times New Roman" w:hAnsi="Times New Roman" w:cs="Times New Roman"/>
            <w:noProof/>
          </w:rPr>
          <w:t>8</w:t>
        </w:r>
      </w:p>
    </w:sdtContent>
  </w:sdt>
  <w:p w14:paraId="7816AF54" w14:textId="77777777" w:rsidR="004D5DD6" w:rsidRDefault="004D5D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47EC" w14:textId="77777777" w:rsidR="008930F5" w:rsidRDefault="008930F5" w:rsidP="00AB24B2">
      <w:pPr>
        <w:spacing w:after="0" w:line="240" w:lineRule="auto"/>
      </w:pPr>
      <w:r>
        <w:separator/>
      </w:r>
    </w:p>
  </w:footnote>
  <w:footnote w:type="continuationSeparator" w:id="0">
    <w:p w14:paraId="21BA2D84" w14:textId="77777777" w:rsidR="008930F5" w:rsidRDefault="008930F5" w:rsidP="00AB2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42F"/>
    <w:multiLevelType w:val="hybridMultilevel"/>
    <w:tmpl w:val="95C4143E"/>
    <w:lvl w:ilvl="0" w:tplc="1D64E18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1A8B"/>
    <w:multiLevelType w:val="hybridMultilevel"/>
    <w:tmpl w:val="1A601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68F7"/>
    <w:multiLevelType w:val="hybridMultilevel"/>
    <w:tmpl w:val="0F1623AE"/>
    <w:lvl w:ilvl="0" w:tplc="C5C0D558">
      <w:start w:val="4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02354CE"/>
    <w:multiLevelType w:val="hybridMultilevel"/>
    <w:tmpl w:val="3D80C518"/>
    <w:lvl w:ilvl="0" w:tplc="1C4E528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B6DA7"/>
    <w:multiLevelType w:val="hybridMultilevel"/>
    <w:tmpl w:val="C55A8DB0"/>
    <w:lvl w:ilvl="0" w:tplc="C5C0D55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033D1"/>
    <w:multiLevelType w:val="hybridMultilevel"/>
    <w:tmpl w:val="6BBA596E"/>
    <w:lvl w:ilvl="0" w:tplc="9DF670F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C323D"/>
    <w:multiLevelType w:val="hybridMultilevel"/>
    <w:tmpl w:val="F398D5A4"/>
    <w:lvl w:ilvl="0" w:tplc="6700C4A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A1CA1"/>
    <w:multiLevelType w:val="hybridMultilevel"/>
    <w:tmpl w:val="02AE1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F7381E"/>
    <w:multiLevelType w:val="hybridMultilevel"/>
    <w:tmpl w:val="3F0E52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E5172"/>
    <w:multiLevelType w:val="hybridMultilevel"/>
    <w:tmpl w:val="05DAFB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C0EE7"/>
    <w:multiLevelType w:val="hybridMultilevel"/>
    <w:tmpl w:val="E7D213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00B09"/>
    <w:multiLevelType w:val="hybridMultilevel"/>
    <w:tmpl w:val="0F4C2B02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6AAE6137"/>
    <w:multiLevelType w:val="hybridMultilevel"/>
    <w:tmpl w:val="B1DAA5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A3D7B"/>
    <w:multiLevelType w:val="hybridMultilevel"/>
    <w:tmpl w:val="CC36A8C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84FF5"/>
    <w:multiLevelType w:val="hybridMultilevel"/>
    <w:tmpl w:val="658297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751596">
    <w:abstractNumId w:val="12"/>
  </w:num>
  <w:num w:numId="2" w16cid:durableId="1547715414">
    <w:abstractNumId w:val="6"/>
  </w:num>
  <w:num w:numId="3" w16cid:durableId="643392724">
    <w:abstractNumId w:val="1"/>
  </w:num>
  <w:num w:numId="4" w16cid:durableId="524447410">
    <w:abstractNumId w:val="5"/>
  </w:num>
  <w:num w:numId="5" w16cid:durableId="166023482">
    <w:abstractNumId w:val="14"/>
  </w:num>
  <w:num w:numId="6" w16cid:durableId="1718506533">
    <w:abstractNumId w:val="0"/>
  </w:num>
  <w:num w:numId="7" w16cid:durableId="1140808997">
    <w:abstractNumId w:val="10"/>
  </w:num>
  <w:num w:numId="8" w16cid:durableId="97024101">
    <w:abstractNumId w:val="3"/>
  </w:num>
  <w:num w:numId="9" w16cid:durableId="1824005729">
    <w:abstractNumId w:val="7"/>
  </w:num>
  <w:num w:numId="10" w16cid:durableId="63185061">
    <w:abstractNumId w:val="2"/>
  </w:num>
  <w:num w:numId="11" w16cid:durableId="1285844156">
    <w:abstractNumId w:val="9"/>
  </w:num>
  <w:num w:numId="12" w16cid:durableId="865295516">
    <w:abstractNumId w:val="13"/>
  </w:num>
  <w:num w:numId="13" w16cid:durableId="1419911472">
    <w:abstractNumId w:val="8"/>
  </w:num>
  <w:num w:numId="14" w16cid:durableId="1980304555">
    <w:abstractNumId w:val="4"/>
  </w:num>
  <w:num w:numId="15" w16cid:durableId="2140949519">
    <w:abstractNumId w:val="11"/>
  </w:num>
  <w:num w:numId="16" w16cid:durableId="2879739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B2"/>
    <w:rsid w:val="00004036"/>
    <w:rsid w:val="00006594"/>
    <w:rsid w:val="000102B0"/>
    <w:rsid w:val="00014090"/>
    <w:rsid w:val="00021BE1"/>
    <w:rsid w:val="000235E2"/>
    <w:rsid w:val="00023842"/>
    <w:rsid w:val="00034EF4"/>
    <w:rsid w:val="0004276D"/>
    <w:rsid w:val="00043A8F"/>
    <w:rsid w:val="00043B8C"/>
    <w:rsid w:val="0005584F"/>
    <w:rsid w:val="00060655"/>
    <w:rsid w:val="00061CF3"/>
    <w:rsid w:val="00062345"/>
    <w:rsid w:val="0006306D"/>
    <w:rsid w:val="000661A6"/>
    <w:rsid w:val="00070BB4"/>
    <w:rsid w:val="00071BC1"/>
    <w:rsid w:val="00087E5B"/>
    <w:rsid w:val="00096412"/>
    <w:rsid w:val="000A0213"/>
    <w:rsid w:val="000A602F"/>
    <w:rsid w:val="000A73E6"/>
    <w:rsid w:val="000A7BDC"/>
    <w:rsid w:val="000B3113"/>
    <w:rsid w:val="000B67EA"/>
    <w:rsid w:val="000C4321"/>
    <w:rsid w:val="000D5EE8"/>
    <w:rsid w:val="000D7D5E"/>
    <w:rsid w:val="000E4704"/>
    <w:rsid w:val="00100BFA"/>
    <w:rsid w:val="00101B12"/>
    <w:rsid w:val="00107735"/>
    <w:rsid w:val="00110047"/>
    <w:rsid w:val="00110E43"/>
    <w:rsid w:val="001129DC"/>
    <w:rsid w:val="00115732"/>
    <w:rsid w:val="00122027"/>
    <w:rsid w:val="001317A1"/>
    <w:rsid w:val="00131C0E"/>
    <w:rsid w:val="001352A4"/>
    <w:rsid w:val="001452D9"/>
    <w:rsid w:val="0014629C"/>
    <w:rsid w:val="00151A35"/>
    <w:rsid w:val="00153F5B"/>
    <w:rsid w:val="00155F8D"/>
    <w:rsid w:val="00156A4B"/>
    <w:rsid w:val="00160642"/>
    <w:rsid w:val="00167BA1"/>
    <w:rsid w:val="00170133"/>
    <w:rsid w:val="001735E6"/>
    <w:rsid w:val="00175E18"/>
    <w:rsid w:val="00180B67"/>
    <w:rsid w:val="00184CCB"/>
    <w:rsid w:val="00185076"/>
    <w:rsid w:val="00192189"/>
    <w:rsid w:val="00193B6B"/>
    <w:rsid w:val="001955F3"/>
    <w:rsid w:val="001B276A"/>
    <w:rsid w:val="001B4EFE"/>
    <w:rsid w:val="001C785A"/>
    <w:rsid w:val="001D1B5C"/>
    <w:rsid w:val="001E3E7D"/>
    <w:rsid w:val="00200006"/>
    <w:rsid w:val="0020118F"/>
    <w:rsid w:val="00201B2A"/>
    <w:rsid w:val="00202C05"/>
    <w:rsid w:val="002168A2"/>
    <w:rsid w:val="00225759"/>
    <w:rsid w:val="002303B4"/>
    <w:rsid w:val="00243006"/>
    <w:rsid w:val="0024461B"/>
    <w:rsid w:val="00245B42"/>
    <w:rsid w:val="0024702F"/>
    <w:rsid w:val="00251602"/>
    <w:rsid w:val="0025575A"/>
    <w:rsid w:val="0025655E"/>
    <w:rsid w:val="002638A2"/>
    <w:rsid w:val="002648E8"/>
    <w:rsid w:val="002752DC"/>
    <w:rsid w:val="0028709B"/>
    <w:rsid w:val="002A1567"/>
    <w:rsid w:val="002A66F7"/>
    <w:rsid w:val="002B1EDA"/>
    <w:rsid w:val="002B2F46"/>
    <w:rsid w:val="002B6BE7"/>
    <w:rsid w:val="002B7870"/>
    <w:rsid w:val="002C6EF3"/>
    <w:rsid w:val="002D4151"/>
    <w:rsid w:val="002D5F73"/>
    <w:rsid w:val="002E3DCE"/>
    <w:rsid w:val="002F5CF8"/>
    <w:rsid w:val="00305C66"/>
    <w:rsid w:val="00306D05"/>
    <w:rsid w:val="00316597"/>
    <w:rsid w:val="00317553"/>
    <w:rsid w:val="00317A85"/>
    <w:rsid w:val="00321997"/>
    <w:rsid w:val="00321B4A"/>
    <w:rsid w:val="00323289"/>
    <w:rsid w:val="0033305B"/>
    <w:rsid w:val="00333CF8"/>
    <w:rsid w:val="00342057"/>
    <w:rsid w:val="00342580"/>
    <w:rsid w:val="00343088"/>
    <w:rsid w:val="00344E55"/>
    <w:rsid w:val="00347A1D"/>
    <w:rsid w:val="00350AAD"/>
    <w:rsid w:val="00351999"/>
    <w:rsid w:val="00353F86"/>
    <w:rsid w:val="00363A4B"/>
    <w:rsid w:val="0036632E"/>
    <w:rsid w:val="0036654F"/>
    <w:rsid w:val="00374B4A"/>
    <w:rsid w:val="00381ABC"/>
    <w:rsid w:val="0038510B"/>
    <w:rsid w:val="0039261F"/>
    <w:rsid w:val="00393BF4"/>
    <w:rsid w:val="00395904"/>
    <w:rsid w:val="003A06F8"/>
    <w:rsid w:val="003A2248"/>
    <w:rsid w:val="003B2E3B"/>
    <w:rsid w:val="003D0181"/>
    <w:rsid w:val="003D01B8"/>
    <w:rsid w:val="003D1060"/>
    <w:rsid w:val="003D1770"/>
    <w:rsid w:val="003D7BC2"/>
    <w:rsid w:val="003E5FC6"/>
    <w:rsid w:val="003F75DE"/>
    <w:rsid w:val="004009EB"/>
    <w:rsid w:val="00403AA7"/>
    <w:rsid w:val="00410197"/>
    <w:rsid w:val="00425D21"/>
    <w:rsid w:val="00427238"/>
    <w:rsid w:val="00430BFF"/>
    <w:rsid w:val="004318C2"/>
    <w:rsid w:val="0043479C"/>
    <w:rsid w:val="00436EFB"/>
    <w:rsid w:val="00437A5A"/>
    <w:rsid w:val="00437FF2"/>
    <w:rsid w:val="00450977"/>
    <w:rsid w:val="00466D17"/>
    <w:rsid w:val="004675F1"/>
    <w:rsid w:val="00470C06"/>
    <w:rsid w:val="00470C7D"/>
    <w:rsid w:val="004725D0"/>
    <w:rsid w:val="00474B25"/>
    <w:rsid w:val="00485EE6"/>
    <w:rsid w:val="0048636A"/>
    <w:rsid w:val="00491429"/>
    <w:rsid w:val="004A1787"/>
    <w:rsid w:val="004A3E8D"/>
    <w:rsid w:val="004A7084"/>
    <w:rsid w:val="004B136E"/>
    <w:rsid w:val="004B39F1"/>
    <w:rsid w:val="004B7648"/>
    <w:rsid w:val="004D0D9F"/>
    <w:rsid w:val="004D5DD6"/>
    <w:rsid w:val="004D5ECF"/>
    <w:rsid w:val="004E2245"/>
    <w:rsid w:val="004E2A08"/>
    <w:rsid w:val="004E5C48"/>
    <w:rsid w:val="004F72E8"/>
    <w:rsid w:val="005010BD"/>
    <w:rsid w:val="00502330"/>
    <w:rsid w:val="00511D67"/>
    <w:rsid w:val="00517AC1"/>
    <w:rsid w:val="0052405B"/>
    <w:rsid w:val="00527E21"/>
    <w:rsid w:val="0053098B"/>
    <w:rsid w:val="00535EE2"/>
    <w:rsid w:val="00540AAA"/>
    <w:rsid w:val="005415DB"/>
    <w:rsid w:val="00541A7F"/>
    <w:rsid w:val="00547591"/>
    <w:rsid w:val="005533D9"/>
    <w:rsid w:val="00561129"/>
    <w:rsid w:val="0056468F"/>
    <w:rsid w:val="005778C5"/>
    <w:rsid w:val="00580EB1"/>
    <w:rsid w:val="005C33E1"/>
    <w:rsid w:val="005C6114"/>
    <w:rsid w:val="005D2B15"/>
    <w:rsid w:val="005E0F68"/>
    <w:rsid w:val="005E3AA3"/>
    <w:rsid w:val="005E53DF"/>
    <w:rsid w:val="00600CD4"/>
    <w:rsid w:val="00604EAF"/>
    <w:rsid w:val="00607ACD"/>
    <w:rsid w:val="00607D3C"/>
    <w:rsid w:val="00612B05"/>
    <w:rsid w:val="00633649"/>
    <w:rsid w:val="006338CF"/>
    <w:rsid w:val="00633F09"/>
    <w:rsid w:val="0063426D"/>
    <w:rsid w:val="006351FC"/>
    <w:rsid w:val="0063593F"/>
    <w:rsid w:val="00640E24"/>
    <w:rsid w:val="00641442"/>
    <w:rsid w:val="00652823"/>
    <w:rsid w:val="00660F1D"/>
    <w:rsid w:val="00664580"/>
    <w:rsid w:val="00670647"/>
    <w:rsid w:val="0067489F"/>
    <w:rsid w:val="00680751"/>
    <w:rsid w:val="0068125F"/>
    <w:rsid w:val="00685290"/>
    <w:rsid w:val="00685536"/>
    <w:rsid w:val="00685550"/>
    <w:rsid w:val="00686D1B"/>
    <w:rsid w:val="00687F16"/>
    <w:rsid w:val="006951E6"/>
    <w:rsid w:val="006B1B38"/>
    <w:rsid w:val="006B2BBD"/>
    <w:rsid w:val="006B4FF0"/>
    <w:rsid w:val="006D3F38"/>
    <w:rsid w:val="006D5B83"/>
    <w:rsid w:val="006E4063"/>
    <w:rsid w:val="006F7DB0"/>
    <w:rsid w:val="0071014F"/>
    <w:rsid w:val="00713703"/>
    <w:rsid w:val="00720652"/>
    <w:rsid w:val="00721160"/>
    <w:rsid w:val="007220AB"/>
    <w:rsid w:val="00722551"/>
    <w:rsid w:val="0072732E"/>
    <w:rsid w:val="0073405F"/>
    <w:rsid w:val="00740EDD"/>
    <w:rsid w:val="00747B91"/>
    <w:rsid w:val="00752FE6"/>
    <w:rsid w:val="00754234"/>
    <w:rsid w:val="0077096D"/>
    <w:rsid w:val="0077584C"/>
    <w:rsid w:val="00776F3C"/>
    <w:rsid w:val="007821ED"/>
    <w:rsid w:val="00783893"/>
    <w:rsid w:val="00786F6D"/>
    <w:rsid w:val="007944EF"/>
    <w:rsid w:val="007973A6"/>
    <w:rsid w:val="007B6C48"/>
    <w:rsid w:val="007C028C"/>
    <w:rsid w:val="007C3C70"/>
    <w:rsid w:val="007D7103"/>
    <w:rsid w:val="007E00C2"/>
    <w:rsid w:val="00800C92"/>
    <w:rsid w:val="008014B2"/>
    <w:rsid w:val="00816708"/>
    <w:rsid w:val="008320D9"/>
    <w:rsid w:val="008359D6"/>
    <w:rsid w:val="00840924"/>
    <w:rsid w:val="00842812"/>
    <w:rsid w:val="00857420"/>
    <w:rsid w:val="008613C4"/>
    <w:rsid w:val="008635B4"/>
    <w:rsid w:val="00864B3B"/>
    <w:rsid w:val="0087651F"/>
    <w:rsid w:val="00880DEC"/>
    <w:rsid w:val="00887248"/>
    <w:rsid w:val="008930F5"/>
    <w:rsid w:val="008979BF"/>
    <w:rsid w:val="008A75F0"/>
    <w:rsid w:val="008C0664"/>
    <w:rsid w:val="008D0A28"/>
    <w:rsid w:val="008D741E"/>
    <w:rsid w:val="008E33DF"/>
    <w:rsid w:val="008E3FE9"/>
    <w:rsid w:val="008E6F34"/>
    <w:rsid w:val="008F6635"/>
    <w:rsid w:val="008F6FC2"/>
    <w:rsid w:val="008F79C9"/>
    <w:rsid w:val="009026E7"/>
    <w:rsid w:val="009117BC"/>
    <w:rsid w:val="009202B7"/>
    <w:rsid w:val="0092193A"/>
    <w:rsid w:val="00923BCA"/>
    <w:rsid w:val="00934DBC"/>
    <w:rsid w:val="00934EED"/>
    <w:rsid w:val="00941FA4"/>
    <w:rsid w:val="00946C05"/>
    <w:rsid w:val="00950283"/>
    <w:rsid w:val="00953F73"/>
    <w:rsid w:val="00954F00"/>
    <w:rsid w:val="00955920"/>
    <w:rsid w:val="00972DCB"/>
    <w:rsid w:val="00982C3A"/>
    <w:rsid w:val="00983DB3"/>
    <w:rsid w:val="00983F73"/>
    <w:rsid w:val="00984F82"/>
    <w:rsid w:val="009852B9"/>
    <w:rsid w:val="00987891"/>
    <w:rsid w:val="009971A2"/>
    <w:rsid w:val="009A3E45"/>
    <w:rsid w:val="009A5A6C"/>
    <w:rsid w:val="009A7AF4"/>
    <w:rsid w:val="009C0CBD"/>
    <w:rsid w:val="009C521C"/>
    <w:rsid w:val="009D16AB"/>
    <w:rsid w:val="009D3FE9"/>
    <w:rsid w:val="009D7240"/>
    <w:rsid w:val="009F0DC1"/>
    <w:rsid w:val="009F1D82"/>
    <w:rsid w:val="009F5901"/>
    <w:rsid w:val="009F75F2"/>
    <w:rsid w:val="00A02592"/>
    <w:rsid w:val="00A02DF8"/>
    <w:rsid w:val="00A037A7"/>
    <w:rsid w:val="00A03F0A"/>
    <w:rsid w:val="00A16619"/>
    <w:rsid w:val="00A21F3F"/>
    <w:rsid w:val="00A4532D"/>
    <w:rsid w:val="00A64673"/>
    <w:rsid w:val="00A708F1"/>
    <w:rsid w:val="00A86A9C"/>
    <w:rsid w:val="00AB24B2"/>
    <w:rsid w:val="00AB26EA"/>
    <w:rsid w:val="00AB5E4C"/>
    <w:rsid w:val="00AC1421"/>
    <w:rsid w:val="00AC7D0C"/>
    <w:rsid w:val="00AD3A57"/>
    <w:rsid w:val="00AE0230"/>
    <w:rsid w:val="00AE10C1"/>
    <w:rsid w:val="00AE4919"/>
    <w:rsid w:val="00AF1D15"/>
    <w:rsid w:val="00AF2436"/>
    <w:rsid w:val="00B07C5D"/>
    <w:rsid w:val="00B16B0D"/>
    <w:rsid w:val="00B211F6"/>
    <w:rsid w:val="00B222B1"/>
    <w:rsid w:val="00B27120"/>
    <w:rsid w:val="00B311F8"/>
    <w:rsid w:val="00B3385B"/>
    <w:rsid w:val="00B340E8"/>
    <w:rsid w:val="00B35B10"/>
    <w:rsid w:val="00B461D9"/>
    <w:rsid w:val="00B476EF"/>
    <w:rsid w:val="00B524F0"/>
    <w:rsid w:val="00B539E5"/>
    <w:rsid w:val="00B62F58"/>
    <w:rsid w:val="00B63DAC"/>
    <w:rsid w:val="00B7205E"/>
    <w:rsid w:val="00B7228D"/>
    <w:rsid w:val="00B80A28"/>
    <w:rsid w:val="00B8590C"/>
    <w:rsid w:val="00B861EE"/>
    <w:rsid w:val="00B90806"/>
    <w:rsid w:val="00B96277"/>
    <w:rsid w:val="00B97C9C"/>
    <w:rsid w:val="00BA029A"/>
    <w:rsid w:val="00BA7FB5"/>
    <w:rsid w:val="00BB0004"/>
    <w:rsid w:val="00BC6121"/>
    <w:rsid w:val="00BC70CD"/>
    <w:rsid w:val="00BD0C88"/>
    <w:rsid w:val="00BD25E5"/>
    <w:rsid w:val="00BE3191"/>
    <w:rsid w:val="00BE54D8"/>
    <w:rsid w:val="00BF68A0"/>
    <w:rsid w:val="00C03646"/>
    <w:rsid w:val="00C0457E"/>
    <w:rsid w:val="00C051C1"/>
    <w:rsid w:val="00C26358"/>
    <w:rsid w:val="00C45968"/>
    <w:rsid w:val="00C50FB5"/>
    <w:rsid w:val="00C54D1D"/>
    <w:rsid w:val="00C6222E"/>
    <w:rsid w:val="00C65AEE"/>
    <w:rsid w:val="00C67A3A"/>
    <w:rsid w:val="00C81455"/>
    <w:rsid w:val="00C91FC1"/>
    <w:rsid w:val="00C96F9D"/>
    <w:rsid w:val="00CA5DB3"/>
    <w:rsid w:val="00CB0525"/>
    <w:rsid w:val="00CB23BE"/>
    <w:rsid w:val="00CB5378"/>
    <w:rsid w:val="00CC2B8D"/>
    <w:rsid w:val="00CF74AB"/>
    <w:rsid w:val="00D040DC"/>
    <w:rsid w:val="00D0540B"/>
    <w:rsid w:val="00D1388C"/>
    <w:rsid w:val="00D14AB7"/>
    <w:rsid w:val="00D21CE7"/>
    <w:rsid w:val="00D471EC"/>
    <w:rsid w:val="00D57176"/>
    <w:rsid w:val="00D618F0"/>
    <w:rsid w:val="00D62A79"/>
    <w:rsid w:val="00D6329C"/>
    <w:rsid w:val="00D66F7E"/>
    <w:rsid w:val="00D67E52"/>
    <w:rsid w:val="00D75BC4"/>
    <w:rsid w:val="00D81611"/>
    <w:rsid w:val="00D82FD8"/>
    <w:rsid w:val="00D845A1"/>
    <w:rsid w:val="00D94AC5"/>
    <w:rsid w:val="00D95505"/>
    <w:rsid w:val="00D95E9A"/>
    <w:rsid w:val="00DA173E"/>
    <w:rsid w:val="00DA19A9"/>
    <w:rsid w:val="00DA28BC"/>
    <w:rsid w:val="00DA3534"/>
    <w:rsid w:val="00DA63E8"/>
    <w:rsid w:val="00DB6EA6"/>
    <w:rsid w:val="00DC6158"/>
    <w:rsid w:val="00DC6251"/>
    <w:rsid w:val="00DC6298"/>
    <w:rsid w:val="00DC6329"/>
    <w:rsid w:val="00DE0499"/>
    <w:rsid w:val="00DE1923"/>
    <w:rsid w:val="00DE6860"/>
    <w:rsid w:val="00E00BE4"/>
    <w:rsid w:val="00E016A3"/>
    <w:rsid w:val="00E31C88"/>
    <w:rsid w:val="00E34E8D"/>
    <w:rsid w:val="00E34F8D"/>
    <w:rsid w:val="00E3571E"/>
    <w:rsid w:val="00E40AD8"/>
    <w:rsid w:val="00E44EB7"/>
    <w:rsid w:val="00E53462"/>
    <w:rsid w:val="00E5529D"/>
    <w:rsid w:val="00E57022"/>
    <w:rsid w:val="00E63726"/>
    <w:rsid w:val="00E63D62"/>
    <w:rsid w:val="00E64F15"/>
    <w:rsid w:val="00E713F0"/>
    <w:rsid w:val="00E72C8B"/>
    <w:rsid w:val="00E76925"/>
    <w:rsid w:val="00E76DCA"/>
    <w:rsid w:val="00E81DF7"/>
    <w:rsid w:val="00EB0705"/>
    <w:rsid w:val="00EC1DB3"/>
    <w:rsid w:val="00ED1E1F"/>
    <w:rsid w:val="00ED301A"/>
    <w:rsid w:val="00EF1045"/>
    <w:rsid w:val="00EF312A"/>
    <w:rsid w:val="00F121CD"/>
    <w:rsid w:val="00F12205"/>
    <w:rsid w:val="00F15829"/>
    <w:rsid w:val="00F159E8"/>
    <w:rsid w:val="00F17134"/>
    <w:rsid w:val="00F17474"/>
    <w:rsid w:val="00F24602"/>
    <w:rsid w:val="00F2722F"/>
    <w:rsid w:val="00F3266D"/>
    <w:rsid w:val="00F370DF"/>
    <w:rsid w:val="00F3745A"/>
    <w:rsid w:val="00F47BA3"/>
    <w:rsid w:val="00F50226"/>
    <w:rsid w:val="00F627AC"/>
    <w:rsid w:val="00F635E5"/>
    <w:rsid w:val="00F66AB4"/>
    <w:rsid w:val="00F7206E"/>
    <w:rsid w:val="00F7537E"/>
    <w:rsid w:val="00F81AA8"/>
    <w:rsid w:val="00F86339"/>
    <w:rsid w:val="00F87157"/>
    <w:rsid w:val="00F96799"/>
    <w:rsid w:val="00FA698F"/>
    <w:rsid w:val="00FB4990"/>
    <w:rsid w:val="00FB72A1"/>
    <w:rsid w:val="00FB7485"/>
    <w:rsid w:val="00FC1109"/>
    <w:rsid w:val="00FD1299"/>
    <w:rsid w:val="00FD1963"/>
    <w:rsid w:val="00FD4D6C"/>
    <w:rsid w:val="00FD5712"/>
    <w:rsid w:val="00FE7476"/>
    <w:rsid w:val="00FF2205"/>
    <w:rsid w:val="00FF4399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F239"/>
  <w15:docId w15:val="{50644BE6-F102-47DE-B6A0-95CFFBA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24B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B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24B2"/>
  </w:style>
  <w:style w:type="paragraph" w:styleId="AltBilgi">
    <w:name w:val="footer"/>
    <w:basedOn w:val="Normal"/>
    <w:link w:val="AltBilgiChar"/>
    <w:uiPriority w:val="99"/>
    <w:unhideWhenUsed/>
    <w:rsid w:val="00AB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24B2"/>
  </w:style>
  <w:style w:type="paragraph" w:styleId="BalonMetni">
    <w:name w:val="Balloon Text"/>
    <w:basedOn w:val="Normal"/>
    <w:link w:val="BalonMetniChar"/>
    <w:uiPriority w:val="99"/>
    <w:semiHidden/>
    <w:unhideWhenUsed/>
    <w:rsid w:val="0067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489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87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5550"/>
    <w:pPr>
      <w:spacing w:after="0" w:line="240" w:lineRule="auto"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342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3426D"/>
    <w:rPr>
      <w:rFonts w:ascii="Consolas" w:hAnsi="Consolas"/>
      <w:sz w:val="20"/>
      <w:szCs w:val="20"/>
    </w:rPr>
  </w:style>
  <w:style w:type="paragraph" w:customStyle="1" w:styleId="Default">
    <w:name w:val="Default"/>
    <w:rsid w:val="00245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">
    <w:name w:val="Gövde metni_"/>
    <w:basedOn w:val="VarsaylanParagrafYazTipi"/>
    <w:link w:val="Gvdemetni0"/>
    <w:rsid w:val="00170133"/>
    <w:rPr>
      <w:rFonts w:ascii="Times New Roman" w:eastAsia="Times New Roman" w:hAnsi="Times New Roman" w:cs="Times New Roman"/>
    </w:rPr>
  </w:style>
  <w:style w:type="paragraph" w:customStyle="1" w:styleId="Gvdemetni0">
    <w:name w:val="Gövde metni"/>
    <w:basedOn w:val="Normal"/>
    <w:link w:val="Gvdemetni"/>
    <w:rsid w:val="00170133"/>
    <w:pPr>
      <w:widowControl w:val="0"/>
      <w:spacing w:after="400"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itc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1371</Words>
  <Characters>10052</Characters>
  <Application>Microsoft Office Word</Application>
  <DocSecurity>0</DocSecurity>
  <Lines>264</Lines>
  <Paragraphs>158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ali.tefekli</dc:creator>
  <cp:lastModifiedBy>TAB ILAC ANONIM SIRKETİ</cp:lastModifiedBy>
  <cp:revision>24</cp:revision>
  <cp:lastPrinted>2022-01-07T08:41:00Z</cp:lastPrinted>
  <dcterms:created xsi:type="dcterms:W3CDTF">2022-09-15T13:04:00Z</dcterms:created>
  <dcterms:modified xsi:type="dcterms:W3CDTF">2025-11-07T07:43:00Z</dcterms:modified>
</cp:coreProperties>
</file>