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C653" w14:textId="77777777" w:rsidR="00306F73" w:rsidRPr="001D52E4" w:rsidRDefault="00306F73" w:rsidP="000251B8">
      <w:pPr>
        <w:autoSpaceDE w:val="0"/>
        <w:autoSpaceDN w:val="0"/>
        <w:adjustRightInd w:val="0"/>
        <w:spacing w:after="0" w:line="360" w:lineRule="auto"/>
        <w:jc w:val="center"/>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KISA </w:t>
      </w:r>
      <w:r w:rsidR="00D36E51" w:rsidRPr="001D52E4">
        <w:rPr>
          <w:rFonts w:ascii="Times New Roman" w:eastAsia="TimesNewRoman,Bold" w:hAnsi="Times New Roman" w:cs="Times New Roman"/>
          <w:b/>
          <w:bCs/>
          <w:sz w:val="24"/>
          <w:szCs w:val="24"/>
        </w:rPr>
        <w:t>Ü</w:t>
      </w:r>
      <w:r w:rsidRPr="001D52E4">
        <w:rPr>
          <w:rFonts w:ascii="Times New Roman" w:eastAsia="TimesNewRoman,Bold" w:hAnsi="Times New Roman" w:cs="Times New Roman"/>
          <w:b/>
          <w:bCs/>
          <w:sz w:val="24"/>
          <w:szCs w:val="24"/>
        </w:rPr>
        <w:t>R</w:t>
      </w:r>
      <w:r w:rsidR="00D36E51" w:rsidRPr="001D52E4">
        <w:rPr>
          <w:rFonts w:ascii="Times New Roman" w:eastAsia="TimesNewRoman,Bold" w:hAnsi="Times New Roman" w:cs="Times New Roman"/>
          <w:b/>
          <w:bCs/>
          <w:sz w:val="24"/>
          <w:szCs w:val="24"/>
        </w:rPr>
        <w:t>Ü</w:t>
      </w:r>
      <w:r w:rsidRPr="001D52E4">
        <w:rPr>
          <w:rFonts w:ascii="Times New Roman" w:eastAsia="TimesNewRoman,Bold" w:hAnsi="Times New Roman" w:cs="Times New Roman"/>
          <w:b/>
          <w:bCs/>
          <w:sz w:val="24"/>
          <w:szCs w:val="24"/>
        </w:rPr>
        <w:t>N B</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LG</w:t>
      </w:r>
      <w:r w:rsidR="00D36E51" w:rsidRPr="001D52E4">
        <w:rPr>
          <w:rFonts w:ascii="Times New Roman" w:eastAsia="TimesNewRoman,Bold" w:hAnsi="Times New Roman" w:cs="Times New Roman"/>
          <w:b/>
          <w:bCs/>
          <w:sz w:val="24"/>
          <w:szCs w:val="24"/>
        </w:rPr>
        <w:t>İSİ</w:t>
      </w:r>
    </w:p>
    <w:p w14:paraId="7A151842" w14:textId="77777777" w:rsidR="00306F73" w:rsidRPr="001D52E4" w:rsidRDefault="00306F73"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165083B8" w14:textId="77777777" w:rsidR="00306F73" w:rsidRPr="001D52E4" w:rsidRDefault="00306F73" w:rsidP="006F1631">
      <w:pPr>
        <w:pStyle w:val="ListeParagraf"/>
        <w:numPr>
          <w:ilvl w:val="0"/>
          <w:numId w:val="14"/>
        </w:numPr>
        <w:autoSpaceDE w:val="0"/>
        <w:autoSpaceDN w:val="0"/>
        <w:adjustRightInd w:val="0"/>
        <w:spacing w:line="360" w:lineRule="auto"/>
        <w:ind w:left="426" w:hanging="426"/>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BE</w:t>
      </w:r>
      <w:r w:rsidR="00D36E51" w:rsidRPr="001D52E4">
        <w:rPr>
          <w:rFonts w:ascii="Times New Roman" w:eastAsia="TimesNewRoman,Bold" w:hAnsi="Times New Roman" w:cs="Times New Roman"/>
          <w:b/>
          <w:bCs/>
          <w:sz w:val="24"/>
          <w:szCs w:val="24"/>
        </w:rPr>
        <w:t>Ş</w:t>
      </w:r>
      <w:r w:rsidRPr="001D52E4">
        <w:rPr>
          <w:rFonts w:ascii="Times New Roman" w:eastAsia="TimesNewRoman,Bold" w:hAnsi="Times New Roman" w:cs="Times New Roman"/>
          <w:b/>
          <w:bCs/>
          <w:sz w:val="24"/>
          <w:szCs w:val="24"/>
        </w:rPr>
        <w:t>ER</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 xml:space="preserve"> TIBB</w:t>
      </w:r>
      <w:r w:rsidR="00D36E51" w:rsidRPr="001D52E4">
        <w:rPr>
          <w:rFonts w:ascii="Times New Roman" w:eastAsia="TimesNewRoman,Bold" w:hAnsi="Times New Roman" w:cs="Times New Roman"/>
          <w:b/>
          <w:bCs/>
          <w:sz w:val="24"/>
          <w:szCs w:val="24"/>
        </w:rPr>
        <w:t>İ</w:t>
      </w:r>
      <w:r w:rsidR="000B1FF1" w:rsidRPr="001D52E4">
        <w:rPr>
          <w:rFonts w:ascii="Times New Roman" w:eastAsia="TimesNewRoman,Bold" w:hAnsi="Times New Roman" w:cs="Times New Roman"/>
          <w:b/>
          <w:bCs/>
          <w:sz w:val="24"/>
          <w:szCs w:val="24"/>
        </w:rPr>
        <w:t xml:space="preserve"> </w:t>
      </w:r>
      <w:r w:rsidR="00D36E51" w:rsidRPr="001D52E4">
        <w:rPr>
          <w:rFonts w:ascii="Times New Roman" w:eastAsia="TimesNewRoman,Bold" w:hAnsi="Times New Roman" w:cs="Times New Roman"/>
          <w:b/>
          <w:bCs/>
          <w:sz w:val="24"/>
          <w:szCs w:val="24"/>
        </w:rPr>
        <w:t>ÜRÜN</w:t>
      </w:r>
      <w:r w:rsidR="000B1FF1" w:rsidRPr="001D52E4">
        <w:rPr>
          <w:rFonts w:ascii="Times New Roman" w:eastAsia="TimesNewRoman,Bold" w:hAnsi="Times New Roman" w:cs="Times New Roman"/>
          <w:b/>
          <w:bCs/>
          <w:sz w:val="24"/>
          <w:szCs w:val="24"/>
        </w:rPr>
        <w:t>Ü</w:t>
      </w:r>
      <w:r w:rsidRPr="001D52E4">
        <w:rPr>
          <w:rFonts w:ascii="Times New Roman" w:eastAsia="TimesNewRoman,Bold" w:hAnsi="Times New Roman" w:cs="Times New Roman"/>
          <w:b/>
          <w:bCs/>
          <w:sz w:val="24"/>
          <w:szCs w:val="24"/>
        </w:rPr>
        <w:t>N ADI</w:t>
      </w:r>
    </w:p>
    <w:p w14:paraId="29D9DCB9" w14:textId="3A6E90AC" w:rsidR="00306F73" w:rsidRPr="00EA1CB5" w:rsidRDefault="008C6953" w:rsidP="000251B8">
      <w:pPr>
        <w:autoSpaceDE w:val="0"/>
        <w:autoSpaceDN w:val="0"/>
        <w:adjustRightInd w:val="0"/>
        <w:spacing w:after="0" w:line="360" w:lineRule="auto"/>
        <w:jc w:val="both"/>
        <w:rPr>
          <w:rFonts w:ascii="Times New Roman" w:eastAsia="TimesNewRoman" w:hAnsi="Times New Roman" w:cs="Times New Roman"/>
          <w:color w:val="000000" w:themeColor="text1"/>
          <w:sz w:val="24"/>
          <w:szCs w:val="24"/>
        </w:rPr>
      </w:pPr>
      <w:bookmarkStart w:id="0" w:name="_Hlk187841545"/>
      <w:r w:rsidRPr="00335570">
        <w:rPr>
          <w:rFonts w:ascii="Times New Roman" w:eastAsia="TimesNewRoman" w:hAnsi="Times New Roman" w:cs="Times New Roman"/>
          <w:sz w:val="24"/>
          <w:szCs w:val="24"/>
        </w:rPr>
        <w:t>PİKSATİF</w:t>
      </w:r>
      <w:r w:rsidR="007E27BF" w:rsidRPr="008E0EBE">
        <w:rPr>
          <w:rFonts w:ascii="Times New Roman" w:eastAsia="Times New Roman" w:hAnsi="Times New Roman" w:cs="Times New Roman"/>
          <w:b/>
          <w:sz w:val="24"/>
          <w:vertAlign w:val="superscript"/>
        </w:rPr>
        <w:t>®</w:t>
      </w:r>
      <w:r w:rsidR="000B1FF1" w:rsidRPr="008C6953">
        <w:rPr>
          <w:rFonts w:ascii="Times New Roman" w:eastAsia="TimesNewRoman" w:hAnsi="Times New Roman" w:cs="Times New Roman"/>
          <w:sz w:val="24"/>
          <w:szCs w:val="24"/>
        </w:rPr>
        <w:t xml:space="preserve"> </w:t>
      </w:r>
      <w:r w:rsidR="000B1FF1" w:rsidRPr="001D52E4">
        <w:rPr>
          <w:rFonts w:ascii="Times New Roman" w:eastAsia="TimesNewRoman" w:hAnsi="Times New Roman" w:cs="Times New Roman"/>
          <w:sz w:val="24"/>
          <w:szCs w:val="24"/>
        </w:rPr>
        <w:t>2</w:t>
      </w:r>
      <w:r w:rsidR="00A14839">
        <w:rPr>
          <w:rFonts w:ascii="Times New Roman" w:eastAsia="TimesNewRoman" w:hAnsi="Times New Roman" w:cs="Times New Roman"/>
          <w:sz w:val="24"/>
          <w:szCs w:val="24"/>
        </w:rPr>
        <w:t>,</w:t>
      </w:r>
      <w:r w:rsidR="000B1FF1" w:rsidRPr="001D52E4">
        <w:rPr>
          <w:rFonts w:ascii="Times New Roman" w:eastAsia="TimesNewRoman" w:hAnsi="Times New Roman" w:cs="Times New Roman"/>
          <w:sz w:val="24"/>
          <w:szCs w:val="24"/>
        </w:rPr>
        <w:t xml:space="preserve">5 mg </w:t>
      </w:r>
      <w:r w:rsidR="001001F0" w:rsidRPr="00EA1CB5">
        <w:rPr>
          <w:rFonts w:ascii="Times New Roman" w:eastAsia="TimesNewRoman" w:hAnsi="Times New Roman" w:cs="Times New Roman"/>
          <w:color w:val="000000" w:themeColor="text1"/>
          <w:sz w:val="24"/>
          <w:szCs w:val="24"/>
        </w:rPr>
        <w:t>y</w:t>
      </w:r>
      <w:r w:rsidR="000B1FF1" w:rsidRPr="00EA1CB5">
        <w:rPr>
          <w:rFonts w:ascii="Times New Roman" w:eastAsia="TimesNewRoman" w:hAnsi="Times New Roman" w:cs="Times New Roman"/>
          <w:color w:val="000000" w:themeColor="text1"/>
          <w:sz w:val="24"/>
          <w:szCs w:val="24"/>
        </w:rPr>
        <w:t xml:space="preserve">umuşak </w:t>
      </w:r>
      <w:r w:rsidR="001001F0" w:rsidRPr="00EA1CB5">
        <w:rPr>
          <w:rFonts w:ascii="Times New Roman" w:eastAsia="TimesNewRoman" w:hAnsi="Times New Roman" w:cs="Times New Roman"/>
          <w:color w:val="000000" w:themeColor="text1"/>
          <w:sz w:val="24"/>
          <w:szCs w:val="24"/>
        </w:rPr>
        <w:t>k</w:t>
      </w:r>
      <w:r w:rsidR="000B1FF1" w:rsidRPr="00EA1CB5">
        <w:rPr>
          <w:rFonts w:ascii="Times New Roman" w:eastAsia="TimesNewRoman" w:hAnsi="Times New Roman" w:cs="Times New Roman"/>
          <w:color w:val="000000" w:themeColor="text1"/>
          <w:sz w:val="24"/>
          <w:szCs w:val="24"/>
        </w:rPr>
        <w:t>apsül</w:t>
      </w:r>
    </w:p>
    <w:bookmarkEnd w:id="0"/>
    <w:p w14:paraId="25F5657F" w14:textId="77777777" w:rsidR="00306F73" w:rsidRPr="001D52E4" w:rsidRDefault="00306F73"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52438D21" w14:textId="77777777" w:rsidR="006F1631" w:rsidRPr="001D52E4" w:rsidRDefault="00306F73" w:rsidP="006F1631">
      <w:pPr>
        <w:pStyle w:val="ListeParagraf"/>
        <w:numPr>
          <w:ilvl w:val="0"/>
          <w:numId w:val="14"/>
        </w:numPr>
        <w:autoSpaceDE w:val="0"/>
        <w:autoSpaceDN w:val="0"/>
        <w:adjustRightInd w:val="0"/>
        <w:spacing w:line="360" w:lineRule="auto"/>
        <w:ind w:left="426" w:hanging="426"/>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KAL</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TAT</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F ve KANT</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TAT</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F B</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LE</w:t>
      </w:r>
      <w:r w:rsidR="00D36E51" w:rsidRPr="001D52E4">
        <w:rPr>
          <w:rFonts w:ascii="Times New Roman" w:eastAsia="TimesNewRoman,Bold" w:hAnsi="Times New Roman" w:cs="Times New Roman"/>
          <w:b/>
          <w:bCs/>
          <w:sz w:val="24"/>
          <w:szCs w:val="24"/>
        </w:rPr>
        <w:t>Şİ</w:t>
      </w:r>
      <w:r w:rsidRPr="001D52E4">
        <w:rPr>
          <w:rFonts w:ascii="Times New Roman" w:eastAsia="TimesNewRoman,Bold" w:hAnsi="Times New Roman" w:cs="Times New Roman"/>
          <w:b/>
          <w:bCs/>
          <w:sz w:val="24"/>
          <w:szCs w:val="24"/>
        </w:rPr>
        <w:t>M</w:t>
      </w:r>
    </w:p>
    <w:p w14:paraId="048A1C95" w14:textId="77777777" w:rsidR="00306F73" w:rsidRPr="001D52E4" w:rsidRDefault="00306F73"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Etkin madde:</w:t>
      </w:r>
    </w:p>
    <w:p w14:paraId="417741B1" w14:textId="77777777" w:rsidR="006F1631" w:rsidRPr="001D52E4" w:rsidRDefault="006F1631" w:rsidP="006F1631">
      <w:pPr>
        <w:autoSpaceDE w:val="0"/>
        <w:autoSpaceDN w:val="0"/>
        <w:adjustRightInd w:val="0"/>
        <w:spacing w:after="0" w:line="360" w:lineRule="auto"/>
        <w:jc w:val="both"/>
        <w:rPr>
          <w:rFonts w:ascii="Times New Roman" w:eastAsia="TimesNewRoman,Bold" w:hAnsi="Times New Roman" w:cs="Times New Roman"/>
          <w:bCs/>
          <w:sz w:val="24"/>
          <w:szCs w:val="24"/>
        </w:rPr>
      </w:pPr>
      <w:bookmarkStart w:id="1" w:name="_Hlk187832746"/>
      <w:r w:rsidRPr="001D52E4">
        <w:rPr>
          <w:rFonts w:ascii="Times New Roman" w:eastAsia="TimesNewRoman,Bold" w:hAnsi="Times New Roman" w:cs="Times New Roman"/>
          <w:bCs/>
          <w:sz w:val="24"/>
          <w:szCs w:val="24"/>
        </w:rPr>
        <w:t>Her bir yumuşak kapsül;</w:t>
      </w:r>
    </w:p>
    <w:p w14:paraId="171FFAAC" w14:textId="49CE45AB" w:rsidR="002176CE" w:rsidRPr="001D52E4" w:rsidRDefault="00962EFE" w:rsidP="006F1631">
      <w:pPr>
        <w:autoSpaceDE w:val="0"/>
        <w:autoSpaceDN w:val="0"/>
        <w:adjustRightInd w:val="0"/>
        <w:spacing w:after="0" w:line="360" w:lineRule="auto"/>
        <w:jc w:val="both"/>
        <w:rPr>
          <w:rFonts w:ascii="Times New Roman" w:eastAsia="TimesNewRoman,Bold" w:hAnsi="Times New Roman" w:cs="Times New Roman"/>
          <w:bCs/>
          <w:sz w:val="24"/>
          <w:szCs w:val="24"/>
        </w:rPr>
      </w:pPr>
      <w:r>
        <w:rPr>
          <w:rFonts w:ascii="Times New Roman" w:eastAsia="TimesNewRoman,Bold" w:hAnsi="Times New Roman" w:cs="Times New Roman"/>
          <w:bCs/>
          <w:sz w:val="24"/>
          <w:szCs w:val="24"/>
        </w:rPr>
        <w:t>2</w:t>
      </w:r>
      <w:r w:rsidR="00A14839">
        <w:rPr>
          <w:rFonts w:ascii="Times New Roman" w:eastAsia="TimesNewRoman,Bold" w:hAnsi="Times New Roman" w:cs="Times New Roman"/>
          <w:bCs/>
          <w:sz w:val="24"/>
          <w:szCs w:val="24"/>
        </w:rPr>
        <w:t>,</w:t>
      </w:r>
      <w:r>
        <w:rPr>
          <w:rFonts w:ascii="Times New Roman" w:eastAsia="TimesNewRoman,Bold" w:hAnsi="Times New Roman" w:cs="Times New Roman"/>
          <w:bCs/>
          <w:sz w:val="24"/>
          <w:szCs w:val="24"/>
        </w:rPr>
        <w:t xml:space="preserve">5 mg sodyum pikosülfat </w:t>
      </w:r>
      <w:r w:rsidR="006F1631" w:rsidRPr="001D52E4">
        <w:rPr>
          <w:rFonts w:ascii="Times New Roman" w:eastAsia="TimesNewRoman,Bold" w:hAnsi="Times New Roman" w:cs="Times New Roman"/>
          <w:bCs/>
          <w:sz w:val="24"/>
          <w:szCs w:val="24"/>
        </w:rPr>
        <w:t>içerir.</w:t>
      </w:r>
    </w:p>
    <w:bookmarkEnd w:id="1"/>
    <w:p w14:paraId="40E04405" w14:textId="77777777" w:rsidR="006F1631" w:rsidRPr="001D52E4" w:rsidRDefault="006F1631" w:rsidP="006F1631">
      <w:pPr>
        <w:autoSpaceDE w:val="0"/>
        <w:autoSpaceDN w:val="0"/>
        <w:adjustRightInd w:val="0"/>
        <w:spacing w:after="0" w:line="360" w:lineRule="auto"/>
        <w:jc w:val="both"/>
        <w:rPr>
          <w:rFonts w:ascii="Times New Roman" w:eastAsia="TimesNewRoman" w:hAnsi="Times New Roman" w:cs="Times New Roman"/>
          <w:sz w:val="24"/>
          <w:szCs w:val="24"/>
        </w:rPr>
      </w:pPr>
    </w:p>
    <w:p w14:paraId="769E3BBF" w14:textId="77777777" w:rsidR="00306F73" w:rsidRPr="00EA1CB5" w:rsidRDefault="00306F73" w:rsidP="000251B8">
      <w:pPr>
        <w:autoSpaceDE w:val="0"/>
        <w:autoSpaceDN w:val="0"/>
        <w:adjustRightInd w:val="0"/>
        <w:spacing w:after="0" w:line="360" w:lineRule="auto"/>
        <w:jc w:val="both"/>
        <w:rPr>
          <w:rFonts w:ascii="Times New Roman" w:eastAsia="TimesNewRoman,Bold" w:hAnsi="Times New Roman" w:cs="Times New Roman"/>
          <w:b/>
          <w:bCs/>
          <w:color w:val="000000" w:themeColor="text1"/>
          <w:sz w:val="24"/>
          <w:szCs w:val="24"/>
        </w:rPr>
      </w:pPr>
      <w:r w:rsidRPr="00EA1CB5">
        <w:rPr>
          <w:rFonts w:ascii="Times New Roman" w:eastAsia="TimesNewRoman,Bold" w:hAnsi="Times New Roman" w:cs="Times New Roman"/>
          <w:b/>
          <w:bCs/>
          <w:color w:val="000000" w:themeColor="text1"/>
          <w:sz w:val="24"/>
          <w:szCs w:val="24"/>
        </w:rPr>
        <w:t>Yardımcı maddeler:</w:t>
      </w:r>
    </w:p>
    <w:p w14:paraId="474D195B" w14:textId="47A1C6B6" w:rsidR="001001F0" w:rsidRPr="00854020" w:rsidRDefault="001001F0" w:rsidP="00962EFE">
      <w:pPr>
        <w:tabs>
          <w:tab w:val="left" w:pos="4058"/>
        </w:tabs>
        <w:autoSpaceDE w:val="0"/>
        <w:autoSpaceDN w:val="0"/>
        <w:adjustRightInd w:val="0"/>
        <w:spacing w:after="0" w:line="360" w:lineRule="auto"/>
        <w:jc w:val="both"/>
        <w:rPr>
          <w:rFonts w:ascii="Times New Roman" w:eastAsia="TimesNewRoman,Bold" w:hAnsi="Times New Roman" w:cs="Times New Roman"/>
          <w:bCs/>
          <w:color w:val="000000" w:themeColor="text1"/>
          <w:sz w:val="24"/>
          <w:szCs w:val="24"/>
        </w:rPr>
      </w:pPr>
      <w:r w:rsidRPr="00854020">
        <w:rPr>
          <w:rFonts w:ascii="Times New Roman" w:eastAsia="TimesNewRoman,Bold" w:hAnsi="Times New Roman" w:cs="Times New Roman"/>
          <w:bCs/>
          <w:color w:val="000000" w:themeColor="text1"/>
          <w:sz w:val="24"/>
          <w:szCs w:val="24"/>
        </w:rPr>
        <w:t>Sorbitol/Sorbitan Anidrisorb 85/70/00</w:t>
      </w:r>
      <w:r w:rsidR="00962EFE" w:rsidRPr="00854020">
        <w:rPr>
          <w:rFonts w:ascii="Times New Roman" w:eastAsia="TimesNewRoman,Bold" w:hAnsi="Times New Roman" w:cs="Times New Roman"/>
          <w:bCs/>
          <w:color w:val="000000" w:themeColor="text1"/>
          <w:sz w:val="24"/>
          <w:szCs w:val="24"/>
        </w:rPr>
        <w:t xml:space="preserve"> </w:t>
      </w:r>
      <w:r w:rsidRPr="00854020">
        <w:rPr>
          <w:rFonts w:ascii="Times New Roman" w:eastAsia="TimesNewRoman,Bold" w:hAnsi="Times New Roman" w:cs="Times New Roman"/>
          <w:bCs/>
          <w:color w:val="000000" w:themeColor="text1"/>
          <w:sz w:val="24"/>
          <w:szCs w:val="24"/>
        </w:rPr>
        <w:t xml:space="preserve">      </w:t>
      </w:r>
      <w:r w:rsidR="00962EFE" w:rsidRPr="00854020">
        <w:rPr>
          <w:rFonts w:ascii="Times New Roman" w:eastAsia="TimesNewRoman,Bold" w:hAnsi="Times New Roman" w:cs="Times New Roman"/>
          <w:bCs/>
          <w:color w:val="000000" w:themeColor="text1"/>
          <w:sz w:val="24"/>
          <w:szCs w:val="24"/>
        </w:rPr>
        <w:t>22,550 mg</w:t>
      </w:r>
    </w:p>
    <w:p w14:paraId="2F66F69D" w14:textId="36DC5B77" w:rsidR="00962EFE" w:rsidRPr="00854020" w:rsidRDefault="001001F0" w:rsidP="00962EFE">
      <w:pPr>
        <w:tabs>
          <w:tab w:val="left" w:pos="4058"/>
        </w:tabs>
        <w:autoSpaceDE w:val="0"/>
        <w:autoSpaceDN w:val="0"/>
        <w:adjustRightInd w:val="0"/>
        <w:spacing w:after="0" w:line="360" w:lineRule="auto"/>
        <w:jc w:val="both"/>
        <w:rPr>
          <w:rFonts w:ascii="Times New Roman" w:eastAsia="TimesNewRoman,Bold" w:hAnsi="Times New Roman" w:cs="Times New Roman"/>
          <w:bCs/>
          <w:sz w:val="24"/>
          <w:szCs w:val="24"/>
        </w:rPr>
      </w:pPr>
      <w:r w:rsidRPr="00854020">
        <w:rPr>
          <w:rFonts w:ascii="Times New Roman" w:eastAsia="TimesNewRoman,Bold" w:hAnsi="Times New Roman" w:cs="Times New Roman"/>
          <w:bCs/>
          <w:color w:val="000000" w:themeColor="text1"/>
          <w:sz w:val="24"/>
          <w:szCs w:val="24"/>
        </w:rPr>
        <w:t xml:space="preserve">Propilen glikol          </w:t>
      </w:r>
      <w:r w:rsidR="00EA1CB5" w:rsidRPr="00854020">
        <w:rPr>
          <w:rFonts w:ascii="Times New Roman" w:eastAsia="TimesNewRoman,Bold" w:hAnsi="Times New Roman" w:cs="Times New Roman"/>
          <w:bCs/>
          <w:color w:val="000000" w:themeColor="text1"/>
          <w:sz w:val="24"/>
          <w:szCs w:val="24"/>
        </w:rPr>
        <w:t xml:space="preserve">                                  </w:t>
      </w:r>
      <w:r w:rsidRPr="00854020">
        <w:rPr>
          <w:rFonts w:ascii="Times New Roman" w:eastAsia="TimesNewRoman,Bold" w:hAnsi="Times New Roman" w:cs="Times New Roman"/>
          <w:bCs/>
          <w:color w:val="000000" w:themeColor="text1"/>
          <w:sz w:val="24"/>
          <w:szCs w:val="24"/>
        </w:rPr>
        <w:t>9 mg</w:t>
      </w:r>
      <w:r w:rsidR="00962EFE" w:rsidRPr="00854020">
        <w:rPr>
          <w:rFonts w:ascii="Times New Roman" w:eastAsia="TimesNewRoman,Bold" w:hAnsi="Times New Roman" w:cs="Times New Roman"/>
          <w:bCs/>
          <w:sz w:val="24"/>
          <w:szCs w:val="24"/>
        </w:rPr>
        <w:tab/>
      </w:r>
    </w:p>
    <w:p w14:paraId="1C0FB1FD" w14:textId="77777777" w:rsidR="00306F73" w:rsidRPr="001D52E4" w:rsidRDefault="00306F73"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854020">
        <w:rPr>
          <w:rFonts w:ascii="Times New Roman" w:eastAsia="TimesNewRoman" w:hAnsi="Times New Roman" w:cs="Times New Roman"/>
          <w:sz w:val="24"/>
          <w:szCs w:val="24"/>
        </w:rPr>
        <w:t>Yardımcı maddeler</w:t>
      </w:r>
      <w:r w:rsidR="006F1631" w:rsidRPr="00854020">
        <w:rPr>
          <w:rFonts w:ascii="Times New Roman" w:eastAsia="TimesNewRoman" w:hAnsi="Times New Roman" w:cs="Times New Roman"/>
          <w:sz w:val="24"/>
          <w:szCs w:val="24"/>
        </w:rPr>
        <w:t>in tam listesi</w:t>
      </w:r>
      <w:r w:rsidRPr="00854020">
        <w:rPr>
          <w:rFonts w:ascii="Times New Roman" w:eastAsia="TimesNewRoman" w:hAnsi="Times New Roman" w:cs="Times New Roman"/>
          <w:sz w:val="24"/>
          <w:szCs w:val="24"/>
        </w:rPr>
        <w:t xml:space="preserve"> </w:t>
      </w:r>
      <w:r w:rsidR="00D36E51" w:rsidRPr="00854020">
        <w:rPr>
          <w:rFonts w:ascii="Times New Roman" w:eastAsia="TimesNewRoman" w:hAnsi="Times New Roman" w:cs="Times New Roman"/>
          <w:sz w:val="24"/>
          <w:szCs w:val="24"/>
        </w:rPr>
        <w:t>için</w:t>
      </w:r>
      <w:r w:rsidR="00F86476" w:rsidRPr="00854020">
        <w:rPr>
          <w:rFonts w:ascii="Times New Roman" w:eastAsia="TimesNewRoman" w:hAnsi="Times New Roman" w:cs="Times New Roman"/>
          <w:sz w:val="24"/>
          <w:szCs w:val="24"/>
        </w:rPr>
        <w:t xml:space="preserve"> </w:t>
      </w:r>
      <w:r w:rsidR="006F1631" w:rsidRPr="00854020">
        <w:rPr>
          <w:rFonts w:ascii="Times New Roman" w:eastAsia="TimesNewRoman" w:hAnsi="Times New Roman" w:cs="Times New Roman"/>
          <w:sz w:val="24"/>
          <w:szCs w:val="24"/>
        </w:rPr>
        <w:t>Bölüm</w:t>
      </w:r>
      <w:r w:rsidR="00F86476" w:rsidRPr="00854020">
        <w:rPr>
          <w:rFonts w:ascii="Times New Roman" w:eastAsia="TimesNewRoman" w:hAnsi="Times New Roman" w:cs="Times New Roman"/>
          <w:sz w:val="24"/>
          <w:szCs w:val="24"/>
        </w:rPr>
        <w:t xml:space="preserve"> 6.1’e bakınız.</w:t>
      </w:r>
    </w:p>
    <w:p w14:paraId="212BFF4B" w14:textId="77777777" w:rsidR="00306F73" w:rsidRPr="001D52E4" w:rsidRDefault="00306F73"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2FEDA58E" w14:textId="77777777" w:rsidR="00306F73" w:rsidRPr="001D52E4" w:rsidRDefault="00306F73" w:rsidP="006F1631">
      <w:pPr>
        <w:pStyle w:val="ListeParagraf"/>
        <w:numPr>
          <w:ilvl w:val="0"/>
          <w:numId w:val="14"/>
        </w:numPr>
        <w:autoSpaceDE w:val="0"/>
        <w:autoSpaceDN w:val="0"/>
        <w:adjustRightInd w:val="0"/>
        <w:spacing w:line="360" w:lineRule="auto"/>
        <w:ind w:left="426" w:hanging="426"/>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FARMAS</w:t>
      </w:r>
      <w:r w:rsidR="00D36E51" w:rsidRPr="001D52E4">
        <w:rPr>
          <w:rFonts w:ascii="Times New Roman" w:eastAsia="TimesNewRoman,Bold" w:hAnsi="Times New Roman" w:cs="Times New Roman"/>
          <w:b/>
          <w:bCs/>
          <w:sz w:val="24"/>
          <w:szCs w:val="24"/>
        </w:rPr>
        <w:t>Ö</w:t>
      </w:r>
      <w:r w:rsidRPr="001D52E4">
        <w:rPr>
          <w:rFonts w:ascii="Times New Roman" w:eastAsia="TimesNewRoman,Bold" w:hAnsi="Times New Roman" w:cs="Times New Roman"/>
          <w:b/>
          <w:bCs/>
          <w:sz w:val="24"/>
          <w:szCs w:val="24"/>
        </w:rPr>
        <w:t>T</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K FORM</w:t>
      </w:r>
    </w:p>
    <w:p w14:paraId="4AF51319" w14:textId="77777777" w:rsidR="00306F73" w:rsidRDefault="005E11AB" w:rsidP="000251B8">
      <w:pPr>
        <w:autoSpaceDE w:val="0"/>
        <w:autoSpaceDN w:val="0"/>
        <w:adjustRightInd w:val="0"/>
        <w:spacing w:after="0" w:line="360" w:lineRule="auto"/>
        <w:jc w:val="both"/>
        <w:rPr>
          <w:rFonts w:ascii="Times New Roman" w:eastAsia="TimesNewRoman,Bold" w:hAnsi="Times New Roman" w:cs="Times New Roman"/>
          <w:bCs/>
          <w:sz w:val="24"/>
          <w:szCs w:val="24"/>
        </w:rPr>
      </w:pPr>
      <w:bookmarkStart w:id="2" w:name="_Hlk187832811"/>
      <w:r w:rsidRPr="004B1110">
        <w:rPr>
          <w:rFonts w:ascii="Times New Roman" w:eastAsia="TimesNewRoman,Bold" w:hAnsi="Times New Roman" w:cs="Times New Roman"/>
          <w:bCs/>
          <w:sz w:val="24"/>
          <w:szCs w:val="24"/>
        </w:rPr>
        <w:t>Oral kullanım için yumuş</w:t>
      </w:r>
      <w:r w:rsidR="006F1631" w:rsidRPr="004B1110">
        <w:rPr>
          <w:rFonts w:ascii="Times New Roman" w:eastAsia="TimesNewRoman,Bold" w:hAnsi="Times New Roman" w:cs="Times New Roman"/>
          <w:bCs/>
          <w:sz w:val="24"/>
          <w:szCs w:val="24"/>
        </w:rPr>
        <w:t>ak kapsül.</w:t>
      </w:r>
    </w:p>
    <w:bookmarkEnd w:id="2"/>
    <w:p w14:paraId="36EA901B" w14:textId="77777777" w:rsidR="004B1110" w:rsidRPr="001D52E4" w:rsidRDefault="004B1110"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5FA73678" w14:textId="77777777" w:rsidR="00306F73" w:rsidRPr="001D52E4" w:rsidRDefault="00306F73" w:rsidP="000251B8">
      <w:pPr>
        <w:pStyle w:val="ListeParagraf"/>
        <w:numPr>
          <w:ilvl w:val="0"/>
          <w:numId w:val="14"/>
        </w:numPr>
        <w:autoSpaceDE w:val="0"/>
        <w:autoSpaceDN w:val="0"/>
        <w:adjustRightInd w:val="0"/>
        <w:spacing w:after="0" w:line="360" w:lineRule="auto"/>
        <w:ind w:left="426" w:hanging="426"/>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KL</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N</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 xml:space="preserve">K </w:t>
      </w:r>
      <w:r w:rsidR="00D36E51" w:rsidRPr="001D52E4">
        <w:rPr>
          <w:rFonts w:ascii="Times New Roman" w:eastAsia="TimesNewRoman,Bold" w:hAnsi="Times New Roman" w:cs="Times New Roman"/>
          <w:b/>
          <w:bCs/>
          <w:sz w:val="24"/>
          <w:szCs w:val="24"/>
        </w:rPr>
        <w:t>Ö</w:t>
      </w:r>
      <w:r w:rsidRPr="001D52E4">
        <w:rPr>
          <w:rFonts w:ascii="Times New Roman" w:eastAsia="TimesNewRoman,Bold" w:hAnsi="Times New Roman" w:cs="Times New Roman"/>
          <w:b/>
          <w:bCs/>
          <w:sz w:val="24"/>
          <w:szCs w:val="24"/>
        </w:rPr>
        <w:t>ZELL</w:t>
      </w:r>
      <w:r w:rsidR="00D36E51"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KLER</w:t>
      </w:r>
    </w:p>
    <w:p w14:paraId="2CE1918E" w14:textId="77777777" w:rsidR="00306F73" w:rsidRPr="001D52E4" w:rsidRDefault="006F1631" w:rsidP="006F1631">
      <w:pPr>
        <w:pStyle w:val="ListeParagraf"/>
        <w:numPr>
          <w:ilvl w:val="1"/>
          <w:numId w:val="14"/>
        </w:numPr>
        <w:autoSpaceDE w:val="0"/>
        <w:autoSpaceDN w:val="0"/>
        <w:adjustRightInd w:val="0"/>
        <w:spacing w:after="0" w:line="360" w:lineRule="auto"/>
        <w:ind w:left="426" w:hanging="426"/>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 </w:t>
      </w:r>
      <w:r w:rsidR="00306F73" w:rsidRPr="001D52E4">
        <w:rPr>
          <w:rFonts w:ascii="Times New Roman" w:eastAsia="TimesNewRoman,Bold" w:hAnsi="Times New Roman" w:cs="Times New Roman"/>
          <w:b/>
          <w:bCs/>
          <w:sz w:val="24"/>
          <w:szCs w:val="24"/>
        </w:rPr>
        <w:t>Terap</w:t>
      </w:r>
      <w:r w:rsidR="00D36E51" w:rsidRPr="001D52E4">
        <w:rPr>
          <w:rFonts w:ascii="Times New Roman" w:eastAsia="TimesNewRoman,Bold" w:hAnsi="Times New Roman" w:cs="Times New Roman"/>
          <w:b/>
          <w:bCs/>
          <w:sz w:val="24"/>
          <w:szCs w:val="24"/>
        </w:rPr>
        <w:t>ö</w:t>
      </w:r>
      <w:r w:rsidR="00306F73" w:rsidRPr="001D52E4">
        <w:rPr>
          <w:rFonts w:ascii="Times New Roman" w:eastAsia="TimesNewRoman,Bold" w:hAnsi="Times New Roman" w:cs="Times New Roman"/>
          <w:b/>
          <w:bCs/>
          <w:sz w:val="24"/>
          <w:szCs w:val="24"/>
        </w:rPr>
        <w:t>tik</w:t>
      </w:r>
      <w:r w:rsidRPr="001D52E4">
        <w:rPr>
          <w:rFonts w:ascii="Times New Roman" w:eastAsia="TimesNewRoman,Bold" w:hAnsi="Times New Roman" w:cs="Times New Roman"/>
          <w:b/>
          <w:bCs/>
          <w:sz w:val="24"/>
          <w:szCs w:val="24"/>
        </w:rPr>
        <w:t xml:space="preserve"> E</w:t>
      </w:r>
      <w:r w:rsidR="00306F73" w:rsidRPr="001D52E4">
        <w:rPr>
          <w:rFonts w:ascii="Times New Roman" w:eastAsia="TimesNewRoman,Bold" w:hAnsi="Times New Roman" w:cs="Times New Roman"/>
          <w:b/>
          <w:bCs/>
          <w:sz w:val="24"/>
          <w:szCs w:val="24"/>
        </w:rPr>
        <w:t>ndikasyonlar</w:t>
      </w:r>
    </w:p>
    <w:p w14:paraId="6499C701" w14:textId="5577A593" w:rsidR="00F94573" w:rsidRPr="00F94573" w:rsidRDefault="008C6953" w:rsidP="00F94573">
      <w:pPr>
        <w:autoSpaceDE w:val="0"/>
        <w:autoSpaceDN w:val="0"/>
        <w:adjustRightInd w:val="0"/>
        <w:spacing w:after="0" w:line="360" w:lineRule="auto"/>
        <w:jc w:val="both"/>
        <w:rPr>
          <w:rFonts w:ascii="Times New Roman" w:eastAsia="TimesNewRoman,Bold" w:hAnsi="Times New Roman" w:cs="Times New Roman"/>
          <w:bCs/>
          <w:sz w:val="24"/>
          <w:szCs w:val="24"/>
        </w:rPr>
      </w:pPr>
      <w:r>
        <w:rPr>
          <w:rFonts w:ascii="Times New Roman" w:eastAsia="TimesNewRoman,Bold" w:hAnsi="Times New Roman" w:cs="Times New Roman"/>
          <w:bCs/>
          <w:sz w:val="24"/>
          <w:szCs w:val="24"/>
        </w:rPr>
        <w:t>PİKSATİF</w:t>
      </w:r>
      <w:r w:rsidR="00F94573" w:rsidRPr="00F94573">
        <w:rPr>
          <w:rFonts w:ascii="Times New Roman" w:eastAsia="TimesNewRoman,Bold" w:hAnsi="Times New Roman" w:cs="Times New Roman"/>
          <w:bCs/>
          <w:sz w:val="24"/>
          <w:szCs w:val="24"/>
        </w:rPr>
        <w:t xml:space="preserve"> kabızlığın kısa süreli tedavisinde ve herhangi bir nedene bağlı kabızlığın giderilmesinde kullanılır.</w:t>
      </w:r>
    </w:p>
    <w:p w14:paraId="7A746A12" w14:textId="6A17E785" w:rsidR="006F1631" w:rsidRDefault="00F94573" w:rsidP="00F94573">
      <w:pPr>
        <w:autoSpaceDE w:val="0"/>
        <w:autoSpaceDN w:val="0"/>
        <w:adjustRightInd w:val="0"/>
        <w:spacing w:after="0" w:line="360" w:lineRule="auto"/>
        <w:jc w:val="both"/>
        <w:rPr>
          <w:rFonts w:ascii="Times New Roman" w:eastAsia="TimesNewRoman,Bold" w:hAnsi="Times New Roman" w:cs="Times New Roman"/>
          <w:bCs/>
          <w:sz w:val="24"/>
          <w:szCs w:val="24"/>
        </w:rPr>
      </w:pPr>
      <w:r w:rsidRPr="00F94573">
        <w:rPr>
          <w:rFonts w:ascii="Times New Roman" w:eastAsia="TimesNewRoman,Bold" w:hAnsi="Times New Roman" w:cs="Times New Roman"/>
          <w:bCs/>
          <w:sz w:val="24"/>
          <w:szCs w:val="24"/>
        </w:rPr>
        <w:t xml:space="preserve">Diğer laksatiflerde olduğu gibi, günlük olarak veya uzun süre kabızlığın sebebini bulmak için tam bir tanısal değerlendirme yapılmaksızın </w:t>
      </w:r>
      <w:r w:rsidR="008C6953">
        <w:rPr>
          <w:rFonts w:ascii="Times New Roman" w:eastAsia="TimesNewRoman,Bold" w:hAnsi="Times New Roman" w:cs="Times New Roman"/>
          <w:bCs/>
          <w:sz w:val="24"/>
          <w:szCs w:val="24"/>
        </w:rPr>
        <w:t xml:space="preserve">PİKSATİF </w:t>
      </w:r>
      <w:r w:rsidRPr="00F94573">
        <w:rPr>
          <w:rFonts w:ascii="Times New Roman" w:eastAsia="TimesNewRoman,Bold" w:hAnsi="Times New Roman" w:cs="Times New Roman"/>
          <w:bCs/>
          <w:sz w:val="24"/>
          <w:szCs w:val="24"/>
        </w:rPr>
        <w:t>kullanılmamalıdır.</w:t>
      </w:r>
    </w:p>
    <w:p w14:paraId="5F162647" w14:textId="77777777" w:rsidR="00F94573" w:rsidRPr="001D52E4" w:rsidRDefault="00F94573" w:rsidP="00F94573">
      <w:pPr>
        <w:autoSpaceDE w:val="0"/>
        <w:autoSpaceDN w:val="0"/>
        <w:adjustRightInd w:val="0"/>
        <w:spacing w:after="0" w:line="360" w:lineRule="auto"/>
        <w:jc w:val="both"/>
        <w:rPr>
          <w:rFonts w:ascii="Times New Roman" w:eastAsia="TimesNewRoman,Bold" w:hAnsi="Times New Roman" w:cs="Times New Roman"/>
          <w:bCs/>
          <w:sz w:val="24"/>
          <w:szCs w:val="24"/>
        </w:rPr>
      </w:pPr>
    </w:p>
    <w:p w14:paraId="6FC767CD" w14:textId="77777777" w:rsidR="00306F73" w:rsidRPr="001D52E4" w:rsidRDefault="00107623" w:rsidP="006F1631">
      <w:pPr>
        <w:tabs>
          <w:tab w:val="left" w:pos="426"/>
        </w:tabs>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4.2. </w:t>
      </w:r>
      <w:r w:rsidR="006F1631" w:rsidRPr="001D52E4">
        <w:rPr>
          <w:rFonts w:ascii="Times New Roman" w:eastAsia="TimesNewRoman,Bold" w:hAnsi="Times New Roman" w:cs="Times New Roman"/>
          <w:b/>
          <w:bCs/>
          <w:sz w:val="24"/>
          <w:szCs w:val="24"/>
        </w:rPr>
        <w:t xml:space="preserve">  </w:t>
      </w:r>
      <w:r w:rsidRPr="001D52E4">
        <w:rPr>
          <w:rFonts w:ascii="Times New Roman" w:eastAsia="TimesNewRoman,Bold" w:hAnsi="Times New Roman" w:cs="Times New Roman"/>
          <w:b/>
          <w:bCs/>
          <w:sz w:val="24"/>
          <w:szCs w:val="24"/>
        </w:rPr>
        <w:t>Pozoloji ve uygulama şekli</w:t>
      </w:r>
    </w:p>
    <w:p w14:paraId="4FE626E5" w14:textId="77777777" w:rsidR="00306F73" w:rsidRPr="001D52E4" w:rsidRDefault="00107623" w:rsidP="008A0B86">
      <w:pPr>
        <w:autoSpaceDE w:val="0"/>
        <w:autoSpaceDN w:val="0"/>
        <w:adjustRightInd w:val="0"/>
        <w:spacing w:before="240"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Pozoloji ve uygulama sıklığı:</w:t>
      </w:r>
    </w:p>
    <w:p w14:paraId="4B6F101C" w14:textId="77777777" w:rsidR="006F1631" w:rsidRPr="001D52E4" w:rsidRDefault="006F1631"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Doktor tarafından başka türlü tavsiye edilmediği takdirde, aşağıdaki dozlar önerilir:</w:t>
      </w:r>
    </w:p>
    <w:p w14:paraId="7EC9D1BE" w14:textId="77777777" w:rsidR="006F1631" w:rsidRPr="001D52E4" w:rsidRDefault="006F1631" w:rsidP="008A0B86">
      <w:pPr>
        <w:autoSpaceDE w:val="0"/>
        <w:autoSpaceDN w:val="0"/>
        <w:adjustRightInd w:val="0"/>
        <w:spacing w:after="0" w:line="360" w:lineRule="auto"/>
        <w:jc w:val="both"/>
        <w:rPr>
          <w:rFonts w:ascii="Times New Roman" w:eastAsia="TimesNewRoman" w:hAnsi="Times New Roman" w:cs="Times New Roman"/>
          <w:sz w:val="24"/>
          <w:szCs w:val="24"/>
        </w:rPr>
      </w:pPr>
    </w:p>
    <w:p w14:paraId="1F80627B" w14:textId="77777777" w:rsidR="008A0B86" w:rsidRPr="008A0B86" w:rsidRDefault="008A0B86" w:rsidP="008A0B86">
      <w:pPr>
        <w:pStyle w:val="Default"/>
        <w:spacing w:line="360" w:lineRule="auto"/>
        <w:jc w:val="both"/>
        <w:rPr>
          <w:rFonts w:eastAsia="TimesNewRoman"/>
          <w:color w:val="auto"/>
        </w:rPr>
      </w:pPr>
      <w:r w:rsidRPr="008A0B86">
        <w:rPr>
          <w:rFonts w:eastAsia="TimesNewRoman"/>
          <w:color w:val="auto"/>
        </w:rPr>
        <w:t xml:space="preserve">Yetişkinler: 2 – 4 kapsül (5 – 10 mg sodyum pikosülfata eşdeğer) </w:t>
      </w:r>
    </w:p>
    <w:p w14:paraId="1B4ED749" w14:textId="77777777" w:rsidR="006F1631"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Çocuklar:</w:t>
      </w:r>
    </w:p>
    <w:p w14:paraId="3AA5D3C0" w14:textId="77777777" w:rsidR="008A0B86" w:rsidRPr="008A0B86"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 4 yaşındaki ve daha büyük çocuklar: 1 – 2 kapsül (2,5 – 5 mg sodyum pikosülfata eşdeğer)</w:t>
      </w:r>
    </w:p>
    <w:p w14:paraId="06B94A7D" w14:textId="77777777" w:rsidR="008A0B86"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lastRenderedPageBreak/>
        <w:t>• 4 yaşından küçük çocuklarda kullanılması kontrendikedir.</w:t>
      </w:r>
    </w:p>
    <w:p w14:paraId="0D6B59CE" w14:textId="0C748AAF" w:rsidR="008A0B86"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 xml:space="preserve">En düşük doz ile başlanması önerilir. Dışkının düzenli olarak çıkmasını sağlayabilmek için önerilen en yüksek doza kademeli olarak ayarlanır. Yetişkinler için </w:t>
      </w:r>
      <w:r w:rsidR="009653BC">
        <w:rPr>
          <w:rFonts w:ascii="Times New Roman" w:eastAsia="TimesNewRoman" w:hAnsi="Times New Roman" w:cs="Times New Roman"/>
          <w:sz w:val="24"/>
          <w:szCs w:val="24"/>
        </w:rPr>
        <w:t xml:space="preserve">4 kapsül veya çocuklar (4 yaşındakiler ve daha büyükler) için 2 kapsül olan günlük maksimum doz aşılmamalıdır. </w:t>
      </w:r>
    </w:p>
    <w:p w14:paraId="6A60F6BF" w14:textId="5EA7C065" w:rsidR="008A0B86"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Kabızlığın sebebi araştırılmadan devamlı olarak günlük veya uzun süreli</w:t>
      </w:r>
      <w:r w:rsidR="00335570">
        <w:rPr>
          <w:rFonts w:ascii="Times New Roman" w:eastAsia="TimesNewRoman" w:hAnsi="Times New Roman" w:cs="Times New Roman"/>
          <w:sz w:val="24"/>
          <w:szCs w:val="24"/>
        </w:rPr>
        <w:t xml:space="preserve"> </w:t>
      </w:r>
      <w:r w:rsidR="008C6953" w:rsidRPr="00F75C25">
        <w:rPr>
          <w:rFonts w:ascii="Times New Roman" w:eastAsia="TimesNewRoman" w:hAnsi="Times New Roman" w:cs="Times New Roman"/>
          <w:sz w:val="24"/>
          <w:szCs w:val="24"/>
        </w:rPr>
        <w:t xml:space="preserve">PİKSATİF </w:t>
      </w:r>
      <w:r w:rsidRPr="008A0B86">
        <w:rPr>
          <w:rFonts w:ascii="Times New Roman" w:eastAsia="TimesNewRoman" w:hAnsi="Times New Roman" w:cs="Times New Roman"/>
          <w:sz w:val="24"/>
          <w:szCs w:val="24"/>
        </w:rPr>
        <w:t>kullanılmamalıdır.</w:t>
      </w:r>
    </w:p>
    <w:p w14:paraId="24E6DF18" w14:textId="77777777" w:rsidR="008A0B86" w:rsidRPr="001D52E4"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p>
    <w:p w14:paraId="4809702A" w14:textId="77777777" w:rsidR="00306F73" w:rsidRDefault="00D36E51"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Uygulama ş</w:t>
      </w:r>
      <w:r w:rsidR="00306F73" w:rsidRPr="001D52E4">
        <w:rPr>
          <w:rFonts w:ascii="Times New Roman" w:eastAsia="TimesNewRoman,Bold" w:hAnsi="Times New Roman" w:cs="Times New Roman"/>
          <w:b/>
          <w:bCs/>
          <w:sz w:val="24"/>
          <w:szCs w:val="24"/>
        </w:rPr>
        <w:t>ekli:</w:t>
      </w:r>
    </w:p>
    <w:p w14:paraId="07B1CCAA" w14:textId="19CB6CA5" w:rsidR="009653BC" w:rsidRPr="009653BC" w:rsidRDefault="009653BC"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9653BC">
        <w:rPr>
          <w:rFonts w:ascii="Times New Roman" w:eastAsia="TimesNewRoman,Bold" w:hAnsi="Times New Roman" w:cs="Times New Roman"/>
          <w:sz w:val="24"/>
          <w:szCs w:val="24"/>
        </w:rPr>
        <w:t>Ağızdan alınır.</w:t>
      </w:r>
    </w:p>
    <w:p w14:paraId="2D20C9EF" w14:textId="56DA0016" w:rsidR="008C307C" w:rsidRDefault="008C6953" w:rsidP="000251B8">
      <w:pPr>
        <w:autoSpaceDE w:val="0"/>
        <w:autoSpaceDN w:val="0"/>
        <w:adjustRightInd w:val="0"/>
        <w:spacing w:after="0" w:line="360" w:lineRule="auto"/>
        <w:jc w:val="both"/>
        <w:rPr>
          <w:rFonts w:ascii="Times New Roman" w:eastAsia="TimesNewRoman" w:hAnsi="Times New Roman" w:cs="Times New Roman"/>
          <w:sz w:val="24"/>
          <w:szCs w:val="24"/>
        </w:rPr>
      </w:pPr>
      <w:bookmarkStart w:id="3" w:name="_Hlk187841380"/>
      <w:r w:rsidRPr="00F75C25">
        <w:rPr>
          <w:rFonts w:ascii="Times New Roman" w:eastAsia="TimesNewRoman" w:hAnsi="Times New Roman" w:cs="Times New Roman"/>
          <w:sz w:val="24"/>
          <w:szCs w:val="24"/>
        </w:rPr>
        <w:t>PİKSATİF</w:t>
      </w:r>
      <w:r w:rsidR="009653BC">
        <w:rPr>
          <w:rFonts w:ascii="Times New Roman" w:eastAsia="TimesNewRoman" w:hAnsi="Times New Roman" w:cs="Times New Roman"/>
          <w:sz w:val="24"/>
          <w:szCs w:val="24"/>
        </w:rPr>
        <w:t xml:space="preserve">’in akşam alınması en uygundur. </w:t>
      </w:r>
      <w:bookmarkEnd w:id="3"/>
      <w:r w:rsidR="008A0B86" w:rsidRPr="008A0B86">
        <w:rPr>
          <w:rFonts w:ascii="Times New Roman" w:eastAsia="TimesNewRoman" w:hAnsi="Times New Roman" w:cs="Times New Roman"/>
          <w:sz w:val="24"/>
          <w:szCs w:val="24"/>
        </w:rPr>
        <w:t xml:space="preserve">Normalde </w:t>
      </w:r>
      <w:r w:rsidRPr="00F75C25">
        <w:rPr>
          <w:rFonts w:ascii="Times New Roman" w:eastAsia="TimesNewRoman" w:hAnsi="Times New Roman" w:cs="Times New Roman"/>
          <w:sz w:val="24"/>
          <w:szCs w:val="24"/>
        </w:rPr>
        <w:t>PİKSATİF</w:t>
      </w:r>
      <w:r w:rsidR="008A0B86" w:rsidRPr="00F75C25">
        <w:rPr>
          <w:rFonts w:ascii="Times New Roman" w:eastAsia="TimesNewRoman" w:hAnsi="Times New Roman" w:cs="Times New Roman"/>
          <w:sz w:val="24"/>
          <w:szCs w:val="24"/>
        </w:rPr>
        <w:t xml:space="preserve"> </w:t>
      </w:r>
      <w:r w:rsidR="008A0B86" w:rsidRPr="008A0B86">
        <w:rPr>
          <w:rFonts w:ascii="Times New Roman" w:eastAsia="TimesNewRoman" w:hAnsi="Times New Roman" w:cs="Times New Roman"/>
          <w:sz w:val="24"/>
          <w:szCs w:val="24"/>
        </w:rPr>
        <w:t>aldıktan yaklaşık 10-12 saat sonra bağırsak hareketi görülür.</w:t>
      </w:r>
      <w:r w:rsidR="009653BC">
        <w:rPr>
          <w:rFonts w:ascii="Times New Roman" w:eastAsia="TimesNewRoman" w:hAnsi="Times New Roman" w:cs="Times New Roman"/>
          <w:sz w:val="24"/>
          <w:szCs w:val="24"/>
        </w:rPr>
        <w:t xml:space="preserve"> Piksatif </w:t>
      </w:r>
      <w:r w:rsidR="009653BC" w:rsidRPr="008A0B86">
        <w:rPr>
          <w:rFonts w:ascii="Times New Roman" w:eastAsia="TimesNewRoman" w:hAnsi="Times New Roman" w:cs="Times New Roman"/>
          <w:sz w:val="24"/>
          <w:szCs w:val="24"/>
        </w:rPr>
        <w:t>yeterli miktarda sıvı ile alınmalıdır.</w:t>
      </w:r>
    </w:p>
    <w:p w14:paraId="5DEFA506" w14:textId="77777777" w:rsidR="008A0B86" w:rsidRPr="001D52E4" w:rsidRDefault="008A0B8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4D9AB0CB" w14:textId="77777777" w:rsidR="008C307C" w:rsidRPr="001D52E4" w:rsidRDefault="005C1B02"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Özel</w:t>
      </w:r>
      <w:r w:rsidR="002E50C2" w:rsidRPr="001D52E4">
        <w:rPr>
          <w:rFonts w:ascii="Times New Roman" w:eastAsia="TimesNewRoman,Bold" w:hAnsi="Times New Roman" w:cs="Times New Roman"/>
          <w:b/>
          <w:bCs/>
          <w:sz w:val="24"/>
          <w:szCs w:val="24"/>
        </w:rPr>
        <w:t xml:space="preserve"> </w:t>
      </w:r>
      <w:r w:rsidRPr="001D52E4">
        <w:rPr>
          <w:rFonts w:ascii="Times New Roman" w:eastAsia="TimesNewRoman,Bold" w:hAnsi="Times New Roman" w:cs="Times New Roman"/>
          <w:b/>
          <w:bCs/>
          <w:sz w:val="24"/>
          <w:szCs w:val="24"/>
        </w:rPr>
        <w:t>popülasyonlara</w:t>
      </w:r>
      <w:r w:rsidR="002E50C2" w:rsidRPr="001D52E4">
        <w:rPr>
          <w:rFonts w:ascii="Times New Roman" w:eastAsia="TimesNewRoman,Bold" w:hAnsi="Times New Roman" w:cs="Times New Roman"/>
          <w:b/>
          <w:bCs/>
          <w:sz w:val="24"/>
          <w:szCs w:val="24"/>
        </w:rPr>
        <w:t xml:space="preserve"> </w:t>
      </w:r>
      <w:r w:rsidRPr="001D52E4">
        <w:rPr>
          <w:rFonts w:ascii="Times New Roman" w:eastAsia="TimesNewRoman,Bold" w:hAnsi="Times New Roman" w:cs="Times New Roman"/>
          <w:b/>
          <w:bCs/>
          <w:sz w:val="24"/>
          <w:szCs w:val="24"/>
        </w:rPr>
        <w:t>ilişkin</w:t>
      </w:r>
      <w:r w:rsidR="00306F73" w:rsidRPr="001D52E4">
        <w:rPr>
          <w:rFonts w:ascii="Times New Roman" w:eastAsia="TimesNewRoman,Bold" w:hAnsi="Times New Roman" w:cs="Times New Roman"/>
          <w:b/>
          <w:bCs/>
          <w:sz w:val="24"/>
          <w:szCs w:val="24"/>
        </w:rPr>
        <w:t xml:space="preserve"> ek bilgiler</w:t>
      </w:r>
      <w:r w:rsidR="002E50C2" w:rsidRPr="001D52E4">
        <w:rPr>
          <w:rFonts w:ascii="Times New Roman" w:eastAsia="TimesNewRoman,Bold" w:hAnsi="Times New Roman" w:cs="Times New Roman"/>
          <w:b/>
          <w:bCs/>
          <w:sz w:val="24"/>
          <w:szCs w:val="24"/>
        </w:rPr>
        <w:t>:</w:t>
      </w:r>
    </w:p>
    <w:p w14:paraId="427D3EE0" w14:textId="77777777" w:rsidR="00CB67EE" w:rsidRPr="001D52E4" w:rsidRDefault="005C1B02" w:rsidP="00CB67EE">
      <w:pPr>
        <w:autoSpaceDE w:val="0"/>
        <w:autoSpaceDN w:val="0"/>
        <w:adjustRightInd w:val="0"/>
        <w:spacing w:after="0" w:line="360" w:lineRule="auto"/>
        <w:jc w:val="both"/>
        <w:rPr>
          <w:sz w:val="24"/>
          <w:szCs w:val="24"/>
        </w:rPr>
      </w:pPr>
      <w:r w:rsidRPr="001D52E4">
        <w:rPr>
          <w:rFonts w:ascii="Times New Roman" w:eastAsia="TimesNewRoman,Bold" w:hAnsi="Times New Roman" w:cs="Times New Roman"/>
          <w:b/>
          <w:bCs/>
          <w:sz w:val="24"/>
          <w:szCs w:val="24"/>
        </w:rPr>
        <w:t>Böbrek</w:t>
      </w:r>
      <w:r w:rsidR="00306F73" w:rsidRPr="001D52E4">
        <w:rPr>
          <w:rFonts w:ascii="Times New Roman" w:eastAsia="TimesNewRoman,Bold" w:hAnsi="Times New Roman" w:cs="Times New Roman"/>
          <w:b/>
          <w:bCs/>
          <w:sz w:val="24"/>
          <w:szCs w:val="24"/>
        </w:rPr>
        <w:t xml:space="preserve"> </w:t>
      </w:r>
      <w:r w:rsidR="006F1631" w:rsidRPr="001D52E4">
        <w:rPr>
          <w:rFonts w:ascii="Times New Roman" w:eastAsia="TimesNewRoman,Bold" w:hAnsi="Times New Roman" w:cs="Times New Roman"/>
          <w:b/>
          <w:bCs/>
          <w:sz w:val="24"/>
          <w:szCs w:val="24"/>
        </w:rPr>
        <w:t xml:space="preserve">/ Karaciğer </w:t>
      </w:r>
      <w:r w:rsidR="00306F73" w:rsidRPr="001D52E4">
        <w:rPr>
          <w:rFonts w:ascii="Times New Roman" w:eastAsia="TimesNewRoman,Bold" w:hAnsi="Times New Roman" w:cs="Times New Roman"/>
          <w:b/>
          <w:bCs/>
          <w:sz w:val="24"/>
          <w:szCs w:val="24"/>
        </w:rPr>
        <w:t>yetmezliği:</w:t>
      </w:r>
      <w:r w:rsidR="00CB67EE" w:rsidRPr="001D52E4">
        <w:rPr>
          <w:sz w:val="24"/>
          <w:szCs w:val="24"/>
        </w:rPr>
        <w:t xml:space="preserve"> </w:t>
      </w:r>
    </w:p>
    <w:p w14:paraId="59E1FD20" w14:textId="77777777" w:rsidR="00897340" w:rsidRPr="001D52E4" w:rsidRDefault="00CB67EE" w:rsidP="00CB67EE">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Böbrek/karaciğer yetmezliği olan hastalara ilişkin veri bulunmamaktadır.</w:t>
      </w:r>
    </w:p>
    <w:p w14:paraId="4DB8A817" w14:textId="77777777" w:rsidR="00CB67EE" w:rsidRPr="001D52E4" w:rsidRDefault="00CB67EE" w:rsidP="00CB67EE">
      <w:pPr>
        <w:autoSpaceDE w:val="0"/>
        <w:autoSpaceDN w:val="0"/>
        <w:adjustRightInd w:val="0"/>
        <w:spacing w:after="0" w:line="360" w:lineRule="auto"/>
        <w:jc w:val="both"/>
        <w:rPr>
          <w:rFonts w:ascii="Times New Roman" w:eastAsia="TimesNewRoman,Bold" w:hAnsi="Times New Roman" w:cs="Times New Roman"/>
          <w:bCs/>
          <w:sz w:val="24"/>
          <w:szCs w:val="24"/>
        </w:rPr>
      </w:pPr>
    </w:p>
    <w:p w14:paraId="401550AC" w14:textId="77777777" w:rsidR="00DE3BA5" w:rsidRPr="001D52E4" w:rsidRDefault="00306F73"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Pediyatrik</w:t>
      </w:r>
      <w:r w:rsidR="002E50C2" w:rsidRPr="001D52E4">
        <w:rPr>
          <w:rFonts w:ascii="Times New Roman" w:eastAsia="TimesNewRoman,Bold" w:hAnsi="Times New Roman" w:cs="Times New Roman"/>
          <w:b/>
          <w:bCs/>
          <w:sz w:val="24"/>
          <w:szCs w:val="24"/>
        </w:rPr>
        <w:t xml:space="preserve"> </w:t>
      </w:r>
      <w:r w:rsidR="005C1B02" w:rsidRPr="001D52E4">
        <w:rPr>
          <w:rFonts w:ascii="Times New Roman" w:eastAsia="TimesNewRoman,Bold" w:hAnsi="Times New Roman" w:cs="Times New Roman"/>
          <w:b/>
          <w:bCs/>
          <w:sz w:val="24"/>
          <w:szCs w:val="24"/>
        </w:rPr>
        <w:t>popülasyon</w:t>
      </w:r>
      <w:r w:rsidRPr="001D52E4">
        <w:rPr>
          <w:rFonts w:ascii="Times New Roman" w:eastAsia="TimesNewRoman,Bold" w:hAnsi="Times New Roman" w:cs="Times New Roman"/>
          <w:b/>
          <w:bCs/>
          <w:sz w:val="24"/>
          <w:szCs w:val="24"/>
        </w:rPr>
        <w:t>:</w:t>
      </w:r>
    </w:p>
    <w:p w14:paraId="6292370B" w14:textId="746A32FC" w:rsidR="008A0B86" w:rsidRDefault="008C6953"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F75C25">
        <w:rPr>
          <w:rFonts w:ascii="Times New Roman" w:eastAsia="TimesNewRoman" w:hAnsi="Times New Roman" w:cs="Times New Roman"/>
          <w:sz w:val="24"/>
          <w:szCs w:val="24"/>
        </w:rPr>
        <w:t xml:space="preserve">PİKSATİF </w:t>
      </w:r>
      <w:r w:rsidR="008A0B86" w:rsidRPr="008A0B86">
        <w:rPr>
          <w:rFonts w:ascii="Times New Roman" w:eastAsia="TimesNewRoman" w:hAnsi="Times New Roman" w:cs="Times New Roman"/>
          <w:sz w:val="24"/>
          <w:szCs w:val="24"/>
        </w:rPr>
        <w:t>4 yaşın altındaki çocuklara verilmemelidir.</w:t>
      </w:r>
    </w:p>
    <w:p w14:paraId="1FAA0997" w14:textId="77777777" w:rsidR="009653BC" w:rsidRPr="009653BC" w:rsidRDefault="009653BC" w:rsidP="008A0B86">
      <w:pPr>
        <w:autoSpaceDE w:val="0"/>
        <w:autoSpaceDN w:val="0"/>
        <w:adjustRightInd w:val="0"/>
        <w:spacing w:after="0" w:line="360" w:lineRule="auto"/>
        <w:jc w:val="both"/>
        <w:rPr>
          <w:rFonts w:ascii="Times New Roman" w:eastAsia="TimesNewRoman" w:hAnsi="Times New Roman" w:cs="Times New Roman"/>
          <w:sz w:val="24"/>
          <w:szCs w:val="24"/>
        </w:rPr>
      </w:pPr>
    </w:p>
    <w:p w14:paraId="1E569F41" w14:textId="77777777" w:rsidR="00306F73" w:rsidRPr="001D52E4" w:rsidRDefault="00306F73"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Geriyatrik</w:t>
      </w:r>
      <w:r w:rsidR="00CB67EE" w:rsidRPr="001D52E4">
        <w:rPr>
          <w:rFonts w:ascii="Times New Roman" w:eastAsia="TimesNewRoman,Bold" w:hAnsi="Times New Roman" w:cs="Times New Roman"/>
          <w:b/>
          <w:bCs/>
          <w:sz w:val="24"/>
          <w:szCs w:val="24"/>
        </w:rPr>
        <w:t xml:space="preserve"> </w:t>
      </w:r>
      <w:r w:rsidR="005C1B02" w:rsidRPr="001D52E4">
        <w:rPr>
          <w:rFonts w:ascii="Times New Roman" w:eastAsia="TimesNewRoman,Bold" w:hAnsi="Times New Roman" w:cs="Times New Roman"/>
          <w:b/>
          <w:bCs/>
          <w:sz w:val="24"/>
          <w:szCs w:val="24"/>
        </w:rPr>
        <w:t>popülasyon</w:t>
      </w:r>
      <w:r w:rsidRPr="001D52E4">
        <w:rPr>
          <w:rFonts w:ascii="Times New Roman" w:eastAsia="TimesNewRoman,Bold" w:hAnsi="Times New Roman" w:cs="Times New Roman"/>
          <w:b/>
          <w:bCs/>
          <w:sz w:val="24"/>
          <w:szCs w:val="24"/>
        </w:rPr>
        <w:t>:</w:t>
      </w:r>
    </w:p>
    <w:p w14:paraId="7C28368F" w14:textId="77777777" w:rsidR="008C307C" w:rsidRPr="001D52E4" w:rsidRDefault="00CB67EE"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Geriyatrik popülasyonda kullanımına ilişkin ek veri bulunmamaktadır.</w:t>
      </w:r>
    </w:p>
    <w:p w14:paraId="2DC203C3" w14:textId="77777777" w:rsidR="00CB67EE" w:rsidRPr="001D52E4" w:rsidRDefault="00CB67EE"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07171467" w14:textId="77777777" w:rsidR="00F7719A" w:rsidRPr="001D52E4" w:rsidRDefault="00306F73" w:rsidP="00CB67EE">
      <w:pPr>
        <w:autoSpaceDE w:val="0"/>
        <w:autoSpaceDN w:val="0"/>
        <w:adjustRightInd w:val="0"/>
        <w:spacing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4.3. </w:t>
      </w:r>
      <w:r w:rsidR="00CB67EE" w:rsidRPr="001D52E4">
        <w:rPr>
          <w:rFonts w:ascii="Times New Roman" w:eastAsia="TimesNewRoman,Bold" w:hAnsi="Times New Roman" w:cs="Times New Roman"/>
          <w:b/>
          <w:bCs/>
          <w:sz w:val="24"/>
          <w:szCs w:val="24"/>
        </w:rPr>
        <w:t xml:space="preserve">   </w:t>
      </w:r>
      <w:r w:rsidRPr="001D52E4">
        <w:rPr>
          <w:rFonts w:ascii="Times New Roman" w:eastAsia="TimesNewRoman,Bold" w:hAnsi="Times New Roman" w:cs="Times New Roman"/>
          <w:b/>
          <w:bCs/>
          <w:sz w:val="24"/>
          <w:szCs w:val="24"/>
        </w:rPr>
        <w:t>Kontrendikasyonlar</w:t>
      </w:r>
    </w:p>
    <w:p w14:paraId="1B766E9D" w14:textId="3A2964A7" w:rsidR="00CB67EE" w:rsidRDefault="008C6953"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F75C25">
        <w:rPr>
          <w:rFonts w:ascii="Times New Roman" w:eastAsia="TimesNewRoman,Bold" w:hAnsi="Times New Roman" w:cs="Times New Roman"/>
          <w:bCs/>
          <w:sz w:val="24"/>
          <w:szCs w:val="24"/>
        </w:rPr>
        <w:t>PİKSATİF</w:t>
      </w:r>
      <w:r w:rsidR="00D85530">
        <w:rPr>
          <w:rFonts w:ascii="Times New Roman" w:eastAsia="TimesNewRoman,Bold" w:hAnsi="Times New Roman" w:cs="Times New Roman"/>
          <w:bCs/>
          <w:sz w:val="24"/>
          <w:szCs w:val="24"/>
        </w:rPr>
        <w:t xml:space="preserve"> </w:t>
      </w:r>
      <w:r w:rsidR="00CB67EE" w:rsidRPr="001D52E4">
        <w:rPr>
          <w:rFonts w:ascii="Times New Roman" w:eastAsia="TimesNewRoman,Bold" w:hAnsi="Times New Roman" w:cs="Times New Roman"/>
          <w:bCs/>
          <w:sz w:val="24"/>
          <w:szCs w:val="24"/>
        </w:rPr>
        <w:t>kullanımı aşağıdaki durumlarda kontrendikedir:</w:t>
      </w:r>
    </w:p>
    <w:p w14:paraId="297E438B" w14:textId="77777777" w:rsidR="008A0B86" w:rsidRPr="008A0B86" w:rsidRDefault="008A0B86" w:rsidP="008A0B86">
      <w:pPr>
        <w:pStyle w:val="ListeParagraf"/>
        <w:numPr>
          <w:ilvl w:val="0"/>
          <w:numId w:val="17"/>
        </w:numPr>
        <w:autoSpaceDE w:val="0"/>
        <w:autoSpaceDN w:val="0"/>
        <w:adjustRightInd w:val="0"/>
        <w:spacing w:after="0" w:line="360" w:lineRule="auto"/>
        <w:ind w:left="284" w:hanging="284"/>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Etkin maddeye, diğer triarilmetanlara ya da bölüm 6.1’de verilen yardımcı maddelerden herhangi birisine karşı aşırı duyarlılık</w:t>
      </w:r>
    </w:p>
    <w:p w14:paraId="6BF20269" w14:textId="77777777" w:rsidR="008A0B86" w:rsidRPr="008A0B86" w:rsidRDefault="008A0B86" w:rsidP="008A0B86">
      <w:pPr>
        <w:pStyle w:val="ListeParagraf"/>
        <w:numPr>
          <w:ilvl w:val="0"/>
          <w:numId w:val="17"/>
        </w:numPr>
        <w:autoSpaceDE w:val="0"/>
        <w:autoSpaceDN w:val="0"/>
        <w:adjustRightInd w:val="0"/>
        <w:spacing w:after="0" w:line="360" w:lineRule="auto"/>
        <w:ind w:left="284" w:hanging="284"/>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İleus ya da intestinal obstrüksiyon</w:t>
      </w:r>
    </w:p>
    <w:p w14:paraId="3E536AF5" w14:textId="77777777" w:rsidR="008A0B86" w:rsidRPr="008A0B86" w:rsidRDefault="008A0B86" w:rsidP="008A0B86">
      <w:pPr>
        <w:pStyle w:val="ListeParagraf"/>
        <w:numPr>
          <w:ilvl w:val="0"/>
          <w:numId w:val="17"/>
        </w:numPr>
        <w:autoSpaceDE w:val="0"/>
        <w:autoSpaceDN w:val="0"/>
        <w:adjustRightInd w:val="0"/>
        <w:spacing w:after="0" w:line="360" w:lineRule="auto"/>
        <w:ind w:left="284" w:hanging="284"/>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Bulantı ve kusma ile birlikte ortaya çıkabilen şiddetli ağrı ve/veya ateşli akut abdominal tablolar (örn. apandisit)</w:t>
      </w:r>
    </w:p>
    <w:p w14:paraId="213B19BD" w14:textId="77777777" w:rsidR="008A0B86" w:rsidRDefault="008A0B86" w:rsidP="008A0B86">
      <w:pPr>
        <w:pStyle w:val="ListeParagraf"/>
        <w:numPr>
          <w:ilvl w:val="0"/>
          <w:numId w:val="17"/>
        </w:numPr>
        <w:autoSpaceDE w:val="0"/>
        <w:autoSpaceDN w:val="0"/>
        <w:adjustRightInd w:val="0"/>
        <w:spacing w:after="0" w:line="360" w:lineRule="auto"/>
        <w:ind w:left="284" w:hanging="284"/>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Akut enflamatuar bağırsak hastalıkları</w:t>
      </w:r>
    </w:p>
    <w:p w14:paraId="73572E3D" w14:textId="593E99B4" w:rsidR="00CB67EE" w:rsidRDefault="008A0B86" w:rsidP="008A0B86">
      <w:pPr>
        <w:pStyle w:val="ListeParagraf"/>
        <w:numPr>
          <w:ilvl w:val="0"/>
          <w:numId w:val="17"/>
        </w:numPr>
        <w:autoSpaceDE w:val="0"/>
        <w:autoSpaceDN w:val="0"/>
        <w:adjustRightInd w:val="0"/>
        <w:spacing w:after="0" w:line="360" w:lineRule="auto"/>
        <w:ind w:left="284" w:hanging="284"/>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Şiddetli dehidratasyon</w:t>
      </w:r>
    </w:p>
    <w:p w14:paraId="69BD3346" w14:textId="77777777" w:rsidR="009653BC" w:rsidRDefault="009653BC" w:rsidP="008A0B86">
      <w:pPr>
        <w:autoSpaceDE w:val="0"/>
        <w:autoSpaceDN w:val="0"/>
        <w:adjustRightInd w:val="0"/>
        <w:spacing w:after="0" w:line="360" w:lineRule="auto"/>
        <w:jc w:val="both"/>
        <w:rPr>
          <w:rFonts w:ascii="Times New Roman" w:eastAsia="TimesNewRoman" w:hAnsi="Times New Roman" w:cs="Times New Roman"/>
          <w:sz w:val="24"/>
          <w:szCs w:val="24"/>
        </w:rPr>
      </w:pPr>
    </w:p>
    <w:p w14:paraId="2BAFA33B" w14:textId="77777777" w:rsidR="009653BC" w:rsidRDefault="009653BC" w:rsidP="008A0B86">
      <w:pPr>
        <w:autoSpaceDE w:val="0"/>
        <w:autoSpaceDN w:val="0"/>
        <w:adjustRightInd w:val="0"/>
        <w:spacing w:after="0" w:line="360" w:lineRule="auto"/>
        <w:jc w:val="both"/>
        <w:rPr>
          <w:rFonts w:ascii="Times New Roman" w:eastAsia="TimesNewRoman" w:hAnsi="Times New Roman" w:cs="Times New Roman"/>
          <w:sz w:val="24"/>
          <w:szCs w:val="24"/>
        </w:rPr>
      </w:pPr>
    </w:p>
    <w:p w14:paraId="7295DE68" w14:textId="1A64E4F1" w:rsidR="008A0B86" w:rsidRPr="008A0B86" w:rsidRDefault="008C6953"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F75C25">
        <w:rPr>
          <w:rFonts w:ascii="Times New Roman" w:eastAsia="TimesNewRoman" w:hAnsi="Times New Roman" w:cs="Times New Roman"/>
          <w:sz w:val="24"/>
          <w:szCs w:val="24"/>
        </w:rPr>
        <w:lastRenderedPageBreak/>
        <w:t>PİKSATİF</w:t>
      </w:r>
      <w:r>
        <w:rPr>
          <w:rFonts w:ascii="Times New Roman" w:eastAsia="TimesNewRoman" w:hAnsi="Times New Roman" w:cs="Times New Roman"/>
          <w:sz w:val="24"/>
          <w:szCs w:val="24"/>
        </w:rPr>
        <w:t xml:space="preserve"> </w:t>
      </w:r>
      <w:r w:rsidR="008A0B86" w:rsidRPr="008A0B86">
        <w:rPr>
          <w:rFonts w:ascii="Times New Roman" w:eastAsia="TimesNewRoman" w:hAnsi="Times New Roman" w:cs="Times New Roman"/>
          <w:sz w:val="24"/>
          <w:szCs w:val="24"/>
        </w:rPr>
        <w:t>4 yaşından küçük çocuklara verilmemelidir.</w:t>
      </w:r>
      <w:r w:rsidR="00F75C25">
        <w:rPr>
          <w:rFonts w:ascii="Times New Roman" w:eastAsia="TimesNewRoman" w:hAnsi="Times New Roman" w:cs="Times New Roman"/>
          <w:sz w:val="24"/>
          <w:szCs w:val="24"/>
        </w:rPr>
        <w:t xml:space="preserve"> </w:t>
      </w:r>
    </w:p>
    <w:p w14:paraId="7A822C8C" w14:textId="5E0C0AB7" w:rsidR="008A0B86"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 xml:space="preserve">Su ve elektrolit dengesizliğinin (ciddi böbrek yetmezliği gibi) eşlik ettiği durumlarda </w:t>
      </w:r>
      <w:r w:rsidR="00EB3032">
        <w:rPr>
          <w:rFonts w:ascii="Times New Roman" w:eastAsia="TimesNewRoman" w:hAnsi="Times New Roman" w:cs="Times New Roman"/>
          <w:sz w:val="24"/>
          <w:szCs w:val="24"/>
        </w:rPr>
        <w:t>PİKSATİF</w:t>
      </w:r>
      <w:r w:rsidRPr="008A0B86">
        <w:rPr>
          <w:rFonts w:ascii="Times New Roman" w:eastAsia="TimesNewRoman" w:hAnsi="Times New Roman" w:cs="Times New Roman"/>
          <w:sz w:val="24"/>
          <w:szCs w:val="24"/>
        </w:rPr>
        <w:t xml:space="preserve"> sadece tıbbi gözetim altında kullanılmalıdır.</w:t>
      </w:r>
    </w:p>
    <w:p w14:paraId="6EF3DEEF" w14:textId="77777777" w:rsidR="008A0B86" w:rsidRDefault="008A0B86" w:rsidP="00CB67EE">
      <w:pPr>
        <w:autoSpaceDE w:val="0"/>
        <w:autoSpaceDN w:val="0"/>
        <w:adjustRightInd w:val="0"/>
        <w:spacing w:line="360" w:lineRule="auto"/>
        <w:jc w:val="both"/>
        <w:rPr>
          <w:rFonts w:ascii="Times New Roman" w:eastAsia="TimesNewRoman" w:hAnsi="Times New Roman" w:cs="Times New Roman"/>
          <w:sz w:val="24"/>
          <w:szCs w:val="24"/>
        </w:rPr>
      </w:pPr>
    </w:p>
    <w:p w14:paraId="1CBC5C34" w14:textId="77777777" w:rsidR="00AA7388" w:rsidRPr="001D52E4" w:rsidRDefault="00CB67EE" w:rsidP="00CB67EE">
      <w:pPr>
        <w:autoSpaceDE w:val="0"/>
        <w:autoSpaceDN w:val="0"/>
        <w:adjustRightInd w:val="0"/>
        <w:spacing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4.4.    </w:t>
      </w:r>
      <w:r w:rsidR="005C1B02" w:rsidRPr="001D52E4">
        <w:rPr>
          <w:rFonts w:ascii="Times New Roman" w:eastAsia="TimesNewRoman,Bold" w:hAnsi="Times New Roman" w:cs="Times New Roman"/>
          <w:b/>
          <w:bCs/>
          <w:sz w:val="24"/>
          <w:szCs w:val="24"/>
        </w:rPr>
        <w:t>Özel</w:t>
      </w:r>
      <w:r w:rsidR="00306F73" w:rsidRPr="001D52E4">
        <w:rPr>
          <w:rFonts w:ascii="Times New Roman" w:eastAsia="TimesNewRoman,Bold" w:hAnsi="Times New Roman" w:cs="Times New Roman"/>
          <w:b/>
          <w:bCs/>
          <w:sz w:val="24"/>
          <w:szCs w:val="24"/>
        </w:rPr>
        <w:t xml:space="preserve"> kullanım uyarıları ve </w:t>
      </w:r>
      <w:r w:rsidR="005C1B02" w:rsidRPr="001D52E4">
        <w:rPr>
          <w:rFonts w:ascii="Times New Roman" w:eastAsia="TimesNewRoman,Bold" w:hAnsi="Times New Roman" w:cs="Times New Roman"/>
          <w:b/>
          <w:bCs/>
          <w:sz w:val="24"/>
          <w:szCs w:val="24"/>
        </w:rPr>
        <w:t>önlemleri</w:t>
      </w:r>
    </w:p>
    <w:p w14:paraId="012A0798" w14:textId="77777777" w:rsidR="008A0B86" w:rsidRDefault="008A0B86"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8A0B86">
        <w:rPr>
          <w:rFonts w:ascii="Times New Roman" w:eastAsia="TimesNewRoman" w:hAnsi="Times New Roman" w:cs="Times New Roman"/>
          <w:sz w:val="24"/>
          <w:szCs w:val="24"/>
        </w:rPr>
        <w:t>K</w:t>
      </w:r>
      <w:r w:rsidRPr="000E1D90">
        <w:rPr>
          <w:rFonts w:ascii="Times New Roman" w:eastAsia="TimesNewRoman" w:hAnsi="Times New Roman" w:cs="Times New Roman"/>
          <w:sz w:val="24"/>
          <w:szCs w:val="24"/>
        </w:rPr>
        <w:t>ronik kabızlığı olan hastalarda teşhise yönelik tam bir değerlendirme yapılmalıdır.</w:t>
      </w:r>
    </w:p>
    <w:p w14:paraId="3C325CFF" w14:textId="4E954C5F" w:rsidR="009653BC" w:rsidRPr="000E1D90" w:rsidRDefault="009653BC" w:rsidP="008A0B86">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Piksatif’in uzun süreli aşırı kullanımı, sıvı ve elektrolit dengesizliğine ve hipokalemiye yol açabilir.</w:t>
      </w:r>
    </w:p>
    <w:p w14:paraId="632C4809" w14:textId="58208E4D" w:rsidR="008A0B86" w:rsidRPr="000E1D90" w:rsidRDefault="008C6953"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0E1D90">
        <w:rPr>
          <w:rFonts w:ascii="Times New Roman" w:eastAsia="TimesNewRoman" w:hAnsi="Times New Roman" w:cs="Times New Roman"/>
          <w:sz w:val="24"/>
          <w:szCs w:val="24"/>
        </w:rPr>
        <w:t>PİKSATİF’in</w:t>
      </w:r>
      <w:r w:rsidR="008A0B86" w:rsidRPr="000E1D90">
        <w:rPr>
          <w:rFonts w:ascii="Times New Roman" w:eastAsia="TimesNewRoman" w:hAnsi="Times New Roman" w:cs="Times New Roman"/>
          <w:sz w:val="24"/>
          <w:szCs w:val="24"/>
        </w:rPr>
        <w:t xml:space="preserve"> kesilmesi semptomların nüksetmesi ile sonuçlanabilir.</w:t>
      </w:r>
      <w:r w:rsidR="00335570" w:rsidRPr="000E1D90">
        <w:rPr>
          <w:rFonts w:ascii="Times New Roman" w:eastAsia="TimesNewRoman" w:hAnsi="Times New Roman" w:cs="Times New Roman"/>
          <w:sz w:val="24"/>
          <w:szCs w:val="24"/>
        </w:rPr>
        <w:t xml:space="preserve"> </w:t>
      </w:r>
      <w:r w:rsidRPr="000E1D90">
        <w:rPr>
          <w:rFonts w:ascii="Times New Roman" w:eastAsia="TimesNewRoman" w:hAnsi="Times New Roman" w:cs="Times New Roman"/>
          <w:sz w:val="24"/>
          <w:szCs w:val="24"/>
        </w:rPr>
        <w:t xml:space="preserve">PİKSATİF </w:t>
      </w:r>
      <w:r w:rsidR="008A0B86" w:rsidRPr="000E1D90">
        <w:rPr>
          <w:rFonts w:ascii="Times New Roman" w:eastAsia="TimesNewRoman" w:hAnsi="Times New Roman" w:cs="Times New Roman"/>
          <w:sz w:val="24"/>
          <w:szCs w:val="24"/>
        </w:rPr>
        <w:t xml:space="preserve">kronik kabızlık için uzun süre </w:t>
      </w:r>
      <w:r w:rsidR="00073580" w:rsidRPr="004F0141">
        <w:rPr>
          <w:rFonts w:ascii="Times New Roman" w:eastAsia="TimesNewRoman" w:hAnsi="Times New Roman" w:cs="Times New Roman"/>
          <w:color w:val="000000" w:themeColor="text1"/>
          <w:sz w:val="24"/>
          <w:szCs w:val="24"/>
        </w:rPr>
        <w:t xml:space="preserve">kullanılırsa </w:t>
      </w:r>
      <w:r w:rsidR="008A0B86" w:rsidRPr="000E1D90">
        <w:rPr>
          <w:rFonts w:ascii="Times New Roman" w:eastAsia="TimesNewRoman" w:hAnsi="Times New Roman" w:cs="Times New Roman"/>
          <w:sz w:val="24"/>
          <w:szCs w:val="24"/>
        </w:rPr>
        <w:t>nükseden herhangi bir semptom kabızlığın kötüleşmesi ile ilişkili olabilir.</w:t>
      </w:r>
    </w:p>
    <w:p w14:paraId="34D479FB" w14:textId="209EFFDC" w:rsidR="008A0B86" w:rsidRDefault="008C6953" w:rsidP="008A0B86">
      <w:pPr>
        <w:autoSpaceDE w:val="0"/>
        <w:autoSpaceDN w:val="0"/>
        <w:adjustRightInd w:val="0"/>
        <w:spacing w:after="0" w:line="360" w:lineRule="auto"/>
        <w:jc w:val="both"/>
        <w:rPr>
          <w:rFonts w:ascii="Times New Roman" w:eastAsia="TimesNewRoman" w:hAnsi="Times New Roman" w:cs="Times New Roman"/>
          <w:sz w:val="24"/>
          <w:szCs w:val="24"/>
        </w:rPr>
      </w:pPr>
      <w:r w:rsidRPr="000E1D90">
        <w:rPr>
          <w:rFonts w:ascii="Times New Roman" w:eastAsia="TimesNewRoman" w:hAnsi="Times New Roman" w:cs="Times New Roman"/>
          <w:sz w:val="24"/>
          <w:szCs w:val="24"/>
        </w:rPr>
        <w:t xml:space="preserve">PİKSATİF </w:t>
      </w:r>
      <w:r w:rsidR="008A0B86" w:rsidRPr="000E1D90">
        <w:rPr>
          <w:rFonts w:ascii="Times New Roman" w:eastAsia="TimesNewRoman" w:hAnsi="Times New Roman" w:cs="Times New Roman"/>
          <w:sz w:val="24"/>
          <w:szCs w:val="24"/>
        </w:rPr>
        <w:t>alan hastalarda geçici baş dönmesi ve/veya senkop bildirilmiştir. Bu olgulara ilişkin bilinen ayrıntılar, olayların mutlaka sodyum pikosülfat uygulamasıyla değil, ama defekasyon senkopu (valsalva manevrası</w:t>
      </w:r>
      <w:r w:rsidR="00073580">
        <w:rPr>
          <w:rFonts w:ascii="Times New Roman" w:eastAsia="TimesNewRoman" w:hAnsi="Times New Roman" w:cs="Times New Roman"/>
          <w:sz w:val="24"/>
          <w:szCs w:val="24"/>
        </w:rPr>
        <w:t xml:space="preserve"> </w:t>
      </w:r>
      <w:r w:rsidR="00073580" w:rsidRPr="004F0141">
        <w:rPr>
          <w:rFonts w:ascii="Times New Roman" w:eastAsia="TimesNewRoman" w:hAnsi="Times New Roman" w:cs="Times New Roman"/>
          <w:color w:val="000000" w:themeColor="text1"/>
          <w:sz w:val="24"/>
          <w:szCs w:val="24"/>
        </w:rPr>
        <w:t>ile ilişkili</w:t>
      </w:r>
      <w:r w:rsidR="008A0B86" w:rsidRPr="004F0141">
        <w:rPr>
          <w:rFonts w:ascii="Times New Roman" w:eastAsia="TimesNewRoman" w:hAnsi="Times New Roman" w:cs="Times New Roman"/>
          <w:color w:val="000000" w:themeColor="text1"/>
          <w:sz w:val="24"/>
          <w:szCs w:val="24"/>
        </w:rPr>
        <w:t xml:space="preserve">) </w:t>
      </w:r>
      <w:r w:rsidR="008A0B86" w:rsidRPr="000E1D90">
        <w:rPr>
          <w:rFonts w:ascii="Times New Roman" w:eastAsia="TimesNewRoman" w:hAnsi="Times New Roman" w:cs="Times New Roman"/>
          <w:sz w:val="24"/>
          <w:szCs w:val="24"/>
        </w:rPr>
        <w:t>veya karın ağrısına karşı gelişen bir vazovagal yanıt ile uyumlu olduğu izlenimini vermektedir.</w:t>
      </w:r>
    </w:p>
    <w:p w14:paraId="6A5A43FC" w14:textId="7A7C3020" w:rsidR="009653BC" w:rsidRPr="000E1D90" w:rsidRDefault="009653BC" w:rsidP="008A0B86">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Özellikle yeme bozukluğu olan hastalarda, hedeflenen kilo kaybı için stimülan laksatiflerin kötüye kullanımıyla ilgili raporlar mevcuttur. Diğer stimülan laksatiflerde olduğu gibi, Piksatif kilo kaybına katkıda bulunmaz (bkz. Bölüm 5.1). Bu hastalarda diyare, karın ağrısı ve hipokalemi gibi artan yan etkiler görülmüştür. Risk altındaki hastalara Piksatif’in kilo vermek için uygun olmadığı bildirilmelidir.</w:t>
      </w:r>
    </w:p>
    <w:p w14:paraId="3B884F94" w14:textId="77777777" w:rsidR="000E1D90" w:rsidRPr="00854020" w:rsidRDefault="000E1D90" w:rsidP="000E1D90">
      <w:pPr>
        <w:pStyle w:val="Default"/>
        <w:spacing w:line="360" w:lineRule="auto"/>
        <w:jc w:val="both"/>
        <w:rPr>
          <w:color w:val="auto"/>
        </w:rPr>
      </w:pPr>
      <w:r w:rsidRPr="00854020">
        <w:rPr>
          <w:color w:val="auto"/>
        </w:rPr>
        <w:t xml:space="preserve">Sorbitol bir fruktoz kaynağıdır. Eğer daha önceden doktorunuz tarafından sizin (veya çocuğunuzun) bazı şekerlere karşı intoleransınızın olduğu söylenmişse veya eğer size (veya çocuğunuzda) glikozun vücut tarafından parçalanamadığı nadir bir genetik hastalık olan kalıtsal fruktoz intoleransı hastalığı teşhisi konmuşsa bu ilacı almadan (veya çocuğunuz almadan) önce doktorunuzla temasa geçiniz. </w:t>
      </w:r>
    </w:p>
    <w:p w14:paraId="7761B129" w14:textId="77777777" w:rsidR="000E1D90" w:rsidRPr="000E1D90" w:rsidRDefault="000E1D90" w:rsidP="000E1D90">
      <w:pPr>
        <w:pStyle w:val="Default"/>
        <w:spacing w:line="360" w:lineRule="auto"/>
        <w:jc w:val="both"/>
        <w:rPr>
          <w:color w:val="auto"/>
        </w:rPr>
      </w:pPr>
      <w:r w:rsidRPr="00854020">
        <w:rPr>
          <w:color w:val="auto"/>
        </w:rPr>
        <w:t>Bu ilaç her bir yumuşak kapsülde 9 mg propilen glikol içerir.</w:t>
      </w:r>
      <w:r w:rsidRPr="000E1D90">
        <w:rPr>
          <w:color w:val="auto"/>
        </w:rPr>
        <w:t xml:space="preserve"> </w:t>
      </w:r>
    </w:p>
    <w:p w14:paraId="73F5E613" w14:textId="77777777" w:rsidR="000E1D90" w:rsidRPr="001D52E4" w:rsidRDefault="000E1D90" w:rsidP="008A0B86">
      <w:pPr>
        <w:autoSpaceDE w:val="0"/>
        <w:autoSpaceDN w:val="0"/>
        <w:adjustRightInd w:val="0"/>
        <w:spacing w:after="0" w:line="360" w:lineRule="auto"/>
        <w:jc w:val="both"/>
        <w:rPr>
          <w:rFonts w:ascii="Times New Roman" w:eastAsia="TimesNewRoman" w:hAnsi="Times New Roman" w:cs="Times New Roman"/>
          <w:sz w:val="24"/>
          <w:szCs w:val="24"/>
        </w:rPr>
      </w:pPr>
    </w:p>
    <w:p w14:paraId="170A2CD0" w14:textId="77777777" w:rsidR="00C87FB0" w:rsidRPr="001D52E4" w:rsidRDefault="00CB67EE"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Bold" w:hAnsi="Times New Roman" w:cs="Times New Roman"/>
          <w:b/>
          <w:bCs/>
          <w:sz w:val="24"/>
          <w:szCs w:val="24"/>
        </w:rPr>
        <w:t xml:space="preserve">4.5.    </w:t>
      </w:r>
      <w:r w:rsidR="008C307C" w:rsidRPr="001D52E4">
        <w:rPr>
          <w:rFonts w:ascii="Times New Roman" w:eastAsia="TimesNewRoman,Bold" w:hAnsi="Times New Roman" w:cs="Times New Roman"/>
          <w:b/>
          <w:bCs/>
          <w:sz w:val="24"/>
          <w:szCs w:val="24"/>
        </w:rPr>
        <w:t xml:space="preserve">Diğer tıbbi </w:t>
      </w:r>
      <w:r w:rsidR="00D36E51" w:rsidRPr="001D52E4">
        <w:rPr>
          <w:rFonts w:ascii="Times New Roman" w:eastAsia="TimesNewRoman,Bold" w:hAnsi="Times New Roman" w:cs="Times New Roman"/>
          <w:b/>
          <w:bCs/>
          <w:sz w:val="24"/>
          <w:szCs w:val="24"/>
        </w:rPr>
        <w:t>ürün</w:t>
      </w:r>
      <w:r w:rsidR="008C307C" w:rsidRPr="001D52E4">
        <w:rPr>
          <w:rFonts w:ascii="Times New Roman" w:eastAsia="TimesNewRoman,Bold" w:hAnsi="Times New Roman" w:cs="Times New Roman"/>
          <w:b/>
          <w:bCs/>
          <w:sz w:val="24"/>
          <w:szCs w:val="24"/>
        </w:rPr>
        <w:t xml:space="preserve">lerle </w:t>
      </w:r>
      <w:r w:rsidR="00B566BB" w:rsidRPr="001D52E4">
        <w:rPr>
          <w:rFonts w:ascii="Times New Roman" w:eastAsia="TimesNewRoman,Bold" w:hAnsi="Times New Roman" w:cs="Times New Roman"/>
          <w:b/>
          <w:bCs/>
          <w:sz w:val="24"/>
          <w:szCs w:val="24"/>
        </w:rPr>
        <w:t>etkileşimler</w:t>
      </w:r>
      <w:r w:rsidR="00FB107C">
        <w:rPr>
          <w:rFonts w:ascii="Times New Roman" w:eastAsia="TimesNewRoman,Bold" w:hAnsi="Times New Roman" w:cs="Times New Roman"/>
          <w:b/>
          <w:bCs/>
          <w:sz w:val="24"/>
          <w:szCs w:val="24"/>
        </w:rPr>
        <w:t xml:space="preserve"> </w:t>
      </w:r>
      <w:r w:rsidR="008C307C" w:rsidRPr="001D52E4">
        <w:rPr>
          <w:rFonts w:ascii="Times New Roman" w:eastAsia="TimesNewRoman,Bold" w:hAnsi="Times New Roman" w:cs="Times New Roman"/>
          <w:b/>
          <w:bCs/>
          <w:sz w:val="24"/>
          <w:szCs w:val="24"/>
        </w:rPr>
        <w:t xml:space="preserve">ve diğer </w:t>
      </w:r>
      <w:r w:rsidR="00B566BB" w:rsidRPr="001D52E4">
        <w:rPr>
          <w:rFonts w:ascii="Times New Roman" w:eastAsia="TimesNewRoman,Bold" w:hAnsi="Times New Roman" w:cs="Times New Roman"/>
          <w:b/>
          <w:bCs/>
          <w:sz w:val="24"/>
          <w:szCs w:val="24"/>
        </w:rPr>
        <w:t>etkileşim</w:t>
      </w:r>
      <w:r w:rsidRPr="001D52E4">
        <w:rPr>
          <w:rFonts w:ascii="Times New Roman" w:eastAsia="TimesNewRoman,Bold" w:hAnsi="Times New Roman" w:cs="Times New Roman"/>
          <w:b/>
          <w:bCs/>
          <w:sz w:val="24"/>
          <w:szCs w:val="24"/>
        </w:rPr>
        <w:t xml:space="preserve"> </w:t>
      </w:r>
      <w:r w:rsidR="00B566BB" w:rsidRPr="001D52E4">
        <w:rPr>
          <w:rFonts w:ascii="Times New Roman" w:eastAsia="TimesNewRoman,Bold" w:hAnsi="Times New Roman" w:cs="Times New Roman"/>
          <w:b/>
          <w:bCs/>
          <w:sz w:val="24"/>
          <w:szCs w:val="24"/>
        </w:rPr>
        <w:t>şekilleri</w:t>
      </w:r>
    </w:p>
    <w:p w14:paraId="7C65F6AF" w14:textId="4A97998A" w:rsidR="00FB107C" w:rsidRPr="001D52E4" w:rsidRDefault="001001F0" w:rsidP="00FB107C">
      <w:pPr>
        <w:autoSpaceDE w:val="0"/>
        <w:autoSpaceDN w:val="0"/>
        <w:adjustRightInd w:val="0"/>
        <w:spacing w:after="0" w:line="360" w:lineRule="auto"/>
        <w:jc w:val="both"/>
        <w:rPr>
          <w:rFonts w:ascii="Times New Roman" w:eastAsia="TimesNewRoman" w:hAnsi="Times New Roman" w:cs="Times New Roman"/>
          <w:sz w:val="24"/>
          <w:szCs w:val="24"/>
        </w:rPr>
      </w:pPr>
      <w:r w:rsidRPr="00EA1CB5">
        <w:rPr>
          <w:rFonts w:ascii="Times New Roman" w:eastAsia="TimesNewRoman" w:hAnsi="Times New Roman" w:cs="Times New Roman"/>
          <w:color w:val="000000" w:themeColor="text1"/>
          <w:sz w:val="24"/>
          <w:szCs w:val="24"/>
        </w:rPr>
        <w:t xml:space="preserve">Eş zamanlı </w:t>
      </w:r>
      <w:r w:rsidR="00CB67EE" w:rsidRPr="001D52E4">
        <w:rPr>
          <w:rFonts w:ascii="Times New Roman" w:eastAsia="TimesNewRoman" w:hAnsi="Times New Roman" w:cs="Times New Roman"/>
          <w:sz w:val="24"/>
          <w:szCs w:val="24"/>
        </w:rPr>
        <w:t>olarak diüretik</w:t>
      </w:r>
      <w:r w:rsidR="00073580" w:rsidRPr="004F0141">
        <w:rPr>
          <w:rFonts w:ascii="Times New Roman" w:eastAsia="TimesNewRoman" w:hAnsi="Times New Roman" w:cs="Times New Roman"/>
          <w:color w:val="000000" w:themeColor="text1"/>
          <w:sz w:val="24"/>
          <w:szCs w:val="24"/>
        </w:rPr>
        <w:t>ler</w:t>
      </w:r>
      <w:r w:rsidR="00CB67EE" w:rsidRPr="00073580">
        <w:rPr>
          <w:rFonts w:ascii="Times New Roman" w:eastAsia="TimesNewRoman" w:hAnsi="Times New Roman" w:cs="Times New Roman"/>
          <w:color w:val="EE0000"/>
          <w:sz w:val="24"/>
          <w:szCs w:val="24"/>
        </w:rPr>
        <w:t xml:space="preserve"> </w:t>
      </w:r>
      <w:r w:rsidR="00CB67EE" w:rsidRPr="001D52E4">
        <w:rPr>
          <w:rFonts w:ascii="Times New Roman" w:eastAsia="TimesNewRoman" w:hAnsi="Times New Roman" w:cs="Times New Roman"/>
          <w:sz w:val="24"/>
          <w:szCs w:val="24"/>
        </w:rPr>
        <w:t>ve kortiko</w:t>
      </w:r>
      <w:r w:rsidR="00CB6AA7" w:rsidRPr="001D52E4">
        <w:rPr>
          <w:rFonts w:ascii="Times New Roman" w:eastAsia="TimesNewRoman" w:hAnsi="Times New Roman" w:cs="Times New Roman"/>
          <w:sz w:val="24"/>
          <w:szCs w:val="24"/>
        </w:rPr>
        <w:t>steroidler kullanılıyor iken, aş</w:t>
      </w:r>
      <w:r w:rsidR="00CB67EE" w:rsidRPr="001D52E4">
        <w:rPr>
          <w:rFonts w:ascii="Times New Roman" w:eastAsia="TimesNewRoman" w:hAnsi="Times New Roman" w:cs="Times New Roman"/>
          <w:sz w:val="24"/>
          <w:szCs w:val="24"/>
        </w:rPr>
        <w:t>ırı dozlard</w:t>
      </w:r>
      <w:r w:rsidR="00CB6AA7" w:rsidRPr="001D52E4">
        <w:rPr>
          <w:rFonts w:ascii="Times New Roman" w:eastAsia="TimesNewRoman" w:hAnsi="Times New Roman" w:cs="Times New Roman"/>
          <w:sz w:val="24"/>
          <w:szCs w:val="24"/>
        </w:rPr>
        <w:t xml:space="preserve">a </w:t>
      </w:r>
      <w:r w:rsidR="00EB3032">
        <w:rPr>
          <w:rFonts w:ascii="Times New Roman" w:eastAsia="TimesNewRoman" w:hAnsi="Times New Roman" w:cs="Times New Roman"/>
          <w:sz w:val="24"/>
          <w:szCs w:val="24"/>
        </w:rPr>
        <w:t xml:space="preserve">PİKSATİF </w:t>
      </w:r>
      <w:r w:rsidR="00CB6AA7" w:rsidRPr="001D52E4">
        <w:rPr>
          <w:rFonts w:ascii="Times New Roman" w:eastAsia="TimesNewRoman" w:hAnsi="Times New Roman" w:cs="Times New Roman"/>
          <w:sz w:val="24"/>
          <w:szCs w:val="24"/>
        </w:rPr>
        <w:t>alınması elektrolit dengesizliğ</w:t>
      </w:r>
      <w:r w:rsidR="00CB67EE" w:rsidRPr="001D52E4">
        <w:rPr>
          <w:rFonts w:ascii="Times New Roman" w:eastAsia="TimesNewRoman" w:hAnsi="Times New Roman" w:cs="Times New Roman"/>
          <w:sz w:val="24"/>
          <w:szCs w:val="24"/>
        </w:rPr>
        <w:t>i riskini artırabilir.</w:t>
      </w:r>
    </w:p>
    <w:p w14:paraId="6EB59095" w14:textId="77777777" w:rsidR="00CB67EE" w:rsidRPr="001D52E4" w:rsidRDefault="00CB6AA7" w:rsidP="00FB107C">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Elektrolit dengesizliğ</w:t>
      </w:r>
      <w:r w:rsidR="00CB67EE" w:rsidRPr="001D52E4">
        <w:rPr>
          <w:rFonts w:ascii="Times New Roman" w:eastAsia="TimesNewRoman" w:hAnsi="Times New Roman" w:cs="Times New Roman"/>
          <w:sz w:val="24"/>
          <w:szCs w:val="24"/>
        </w:rPr>
        <w:t>i kard</w:t>
      </w:r>
      <w:r w:rsidRPr="001D52E4">
        <w:rPr>
          <w:rFonts w:ascii="Times New Roman" w:eastAsia="TimesNewRoman" w:hAnsi="Times New Roman" w:cs="Times New Roman"/>
          <w:sz w:val="24"/>
          <w:szCs w:val="24"/>
        </w:rPr>
        <w:t>iyak glikozitlere kar</w:t>
      </w:r>
      <w:r w:rsidR="00FB107C">
        <w:rPr>
          <w:rFonts w:ascii="Times New Roman" w:eastAsia="TimesNewRoman" w:hAnsi="Times New Roman" w:cs="Times New Roman"/>
          <w:sz w:val="24"/>
          <w:szCs w:val="24"/>
        </w:rPr>
        <w:t>ş</w:t>
      </w:r>
      <w:r w:rsidRPr="001D52E4">
        <w:rPr>
          <w:rFonts w:ascii="Times New Roman" w:eastAsia="TimesNewRoman" w:hAnsi="Times New Roman" w:cs="Times New Roman"/>
          <w:sz w:val="24"/>
          <w:szCs w:val="24"/>
        </w:rPr>
        <w:t>ı duyarlığ</w:t>
      </w:r>
      <w:r w:rsidR="00CB67EE" w:rsidRPr="001D52E4">
        <w:rPr>
          <w:rFonts w:ascii="Times New Roman" w:eastAsia="TimesNewRoman" w:hAnsi="Times New Roman" w:cs="Times New Roman"/>
          <w:sz w:val="24"/>
          <w:szCs w:val="24"/>
        </w:rPr>
        <w:t>ın artmasına yol açabilir.</w:t>
      </w:r>
      <w:r w:rsidRPr="001D52E4">
        <w:rPr>
          <w:rFonts w:ascii="Times New Roman" w:eastAsia="TimesNewRoman" w:hAnsi="Times New Roman" w:cs="Times New Roman"/>
          <w:sz w:val="24"/>
          <w:szCs w:val="24"/>
        </w:rPr>
        <w:t xml:space="preserve"> </w:t>
      </w:r>
    </w:p>
    <w:p w14:paraId="46788B74" w14:textId="2CB1138B" w:rsidR="00CB67EE" w:rsidRPr="001D52E4" w:rsidRDefault="00CB67EE" w:rsidP="00FB107C">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Antibiyotikler ile birlikte uygulama</w:t>
      </w:r>
      <w:r w:rsidR="00D85530" w:rsidRPr="00D85530">
        <w:t xml:space="preserve"> </w:t>
      </w:r>
      <w:r w:rsidR="008C6953" w:rsidRPr="00335570">
        <w:rPr>
          <w:rFonts w:ascii="Times New Roman" w:eastAsia="TimesNewRoman" w:hAnsi="Times New Roman" w:cs="Times New Roman"/>
          <w:sz w:val="24"/>
          <w:szCs w:val="24"/>
        </w:rPr>
        <w:t>PİKSATİF’in</w:t>
      </w:r>
      <w:r w:rsidRPr="001D52E4">
        <w:rPr>
          <w:rFonts w:ascii="Times New Roman" w:eastAsia="TimesNewRoman" w:hAnsi="Times New Roman" w:cs="Times New Roman"/>
          <w:sz w:val="24"/>
          <w:szCs w:val="24"/>
        </w:rPr>
        <w:t xml:space="preserve"> laksatif aktivitesini azaltabilir.</w:t>
      </w:r>
    </w:p>
    <w:p w14:paraId="198ACD91" w14:textId="77777777" w:rsidR="00CB6AA7" w:rsidRPr="001D52E4" w:rsidRDefault="00CB6AA7" w:rsidP="00FB107C">
      <w:pPr>
        <w:autoSpaceDE w:val="0"/>
        <w:autoSpaceDN w:val="0"/>
        <w:adjustRightInd w:val="0"/>
        <w:spacing w:after="0" w:line="360" w:lineRule="auto"/>
        <w:jc w:val="both"/>
        <w:rPr>
          <w:rFonts w:ascii="Times New Roman" w:eastAsia="TimesNewRoman" w:hAnsi="Times New Roman" w:cs="Times New Roman"/>
          <w:sz w:val="24"/>
          <w:szCs w:val="24"/>
        </w:rPr>
      </w:pPr>
    </w:p>
    <w:p w14:paraId="7CFCE0C7" w14:textId="77777777" w:rsidR="00CB67EE" w:rsidRPr="001D52E4" w:rsidRDefault="00CB67EE" w:rsidP="00FB107C">
      <w:pPr>
        <w:autoSpaceDE w:val="0"/>
        <w:autoSpaceDN w:val="0"/>
        <w:adjustRightInd w:val="0"/>
        <w:spacing w:after="0" w:line="360" w:lineRule="auto"/>
        <w:jc w:val="both"/>
        <w:rPr>
          <w:rFonts w:ascii="Times New Roman" w:eastAsia="TimesNewRoman" w:hAnsi="Times New Roman" w:cs="Times New Roman"/>
          <w:b/>
          <w:sz w:val="24"/>
          <w:szCs w:val="24"/>
        </w:rPr>
      </w:pPr>
      <w:r w:rsidRPr="001D52E4">
        <w:rPr>
          <w:rFonts w:ascii="Times New Roman" w:eastAsia="TimesNewRoman" w:hAnsi="Times New Roman" w:cs="Times New Roman"/>
          <w:b/>
          <w:sz w:val="24"/>
          <w:szCs w:val="24"/>
        </w:rPr>
        <w:lastRenderedPageBreak/>
        <w:t>Özel popüla</w:t>
      </w:r>
      <w:r w:rsidR="00CB6AA7" w:rsidRPr="001D52E4">
        <w:rPr>
          <w:rFonts w:ascii="Times New Roman" w:eastAsia="TimesNewRoman" w:hAnsi="Times New Roman" w:cs="Times New Roman"/>
          <w:b/>
          <w:sz w:val="24"/>
          <w:szCs w:val="24"/>
        </w:rPr>
        <w:t>syonlara iliş</w:t>
      </w:r>
      <w:r w:rsidRPr="001D52E4">
        <w:rPr>
          <w:rFonts w:ascii="Times New Roman" w:eastAsia="TimesNewRoman" w:hAnsi="Times New Roman" w:cs="Times New Roman"/>
          <w:b/>
          <w:sz w:val="24"/>
          <w:szCs w:val="24"/>
        </w:rPr>
        <w:t>kin ek bilgiler:</w:t>
      </w:r>
    </w:p>
    <w:p w14:paraId="0C483FD6" w14:textId="77777777" w:rsidR="00CB67EE" w:rsidRPr="001D52E4" w:rsidRDefault="00CB67EE" w:rsidP="00FB107C">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Özel bir veri bulunmamaktadır.</w:t>
      </w:r>
    </w:p>
    <w:p w14:paraId="4AC5ACDD" w14:textId="77777777" w:rsidR="00CB6AA7" w:rsidRPr="001D52E4" w:rsidRDefault="00CB6AA7" w:rsidP="00FB107C">
      <w:pPr>
        <w:autoSpaceDE w:val="0"/>
        <w:autoSpaceDN w:val="0"/>
        <w:adjustRightInd w:val="0"/>
        <w:spacing w:after="0" w:line="360" w:lineRule="auto"/>
        <w:jc w:val="both"/>
        <w:rPr>
          <w:rFonts w:ascii="Times New Roman" w:eastAsia="TimesNewRoman" w:hAnsi="Times New Roman" w:cs="Times New Roman"/>
          <w:sz w:val="24"/>
          <w:szCs w:val="24"/>
        </w:rPr>
      </w:pPr>
    </w:p>
    <w:p w14:paraId="1C857600" w14:textId="77777777" w:rsidR="00CB67EE" w:rsidRPr="001D52E4" w:rsidRDefault="00CB67EE" w:rsidP="00FB107C">
      <w:pPr>
        <w:autoSpaceDE w:val="0"/>
        <w:autoSpaceDN w:val="0"/>
        <w:adjustRightInd w:val="0"/>
        <w:spacing w:after="0" w:line="360" w:lineRule="auto"/>
        <w:jc w:val="both"/>
        <w:rPr>
          <w:rFonts w:ascii="Times New Roman" w:eastAsia="TimesNewRoman" w:hAnsi="Times New Roman" w:cs="Times New Roman"/>
          <w:b/>
          <w:sz w:val="24"/>
          <w:szCs w:val="24"/>
        </w:rPr>
      </w:pPr>
      <w:r w:rsidRPr="001D52E4">
        <w:rPr>
          <w:rFonts w:ascii="Times New Roman" w:eastAsia="TimesNewRoman" w:hAnsi="Times New Roman" w:cs="Times New Roman"/>
          <w:b/>
          <w:sz w:val="24"/>
          <w:szCs w:val="24"/>
        </w:rPr>
        <w:t>Pediyatrik popülasyon:</w:t>
      </w:r>
    </w:p>
    <w:p w14:paraId="470C9E10" w14:textId="77777777" w:rsidR="00913152" w:rsidRPr="001D52E4" w:rsidRDefault="00CB67EE" w:rsidP="00FB107C">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Özel bir veri bulunmamaktadır.</w:t>
      </w:r>
    </w:p>
    <w:p w14:paraId="4A18B144" w14:textId="77777777" w:rsidR="002061CB" w:rsidRPr="001D52E4" w:rsidRDefault="002061CB" w:rsidP="00FB107C">
      <w:pPr>
        <w:autoSpaceDE w:val="0"/>
        <w:autoSpaceDN w:val="0"/>
        <w:adjustRightInd w:val="0"/>
        <w:spacing w:after="0" w:line="360" w:lineRule="auto"/>
        <w:jc w:val="both"/>
        <w:rPr>
          <w:rFonts w:ascii="Times New Roman" w:eastAsia="TimesNewRoman,Bold" w:hAnsi="Times New Roman" w:cs="Times New Roman"/>
          <w:b/>
          <w:bCs/>
          <w:sz w:val="24"/>
          <w:szCs w:val="24"/>
        </w:rPr>
      </w:pPr>
    </w:p>
    <w:p w14:paraId="3055554C" w14:textId="77777777" w:rsidR="002061CB" w:rsidRPr="001D52E4" w:rsidRDefault="00CB6AA7"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4.6.    </w:t>
      </w:r>
      <w:r w:rsidR="000A4A9A" w:rsidRPr="001D52E4">
        <w:rPr>
          <w:rFonts w:ascii="Times New Roman" w:eastAsia="TimesNewRoman,Bold" w:hAnsi="Times New Roman" w:cs="Times New Roman"/>
          <w:b/>
          <w:bCs/>
          <w:sz w:val="24"/>
          <w:szCs w:val="24"/>
        </w:rPr>
        <w:t>Gebelik ve laktasyon</w:t>
      </w:r>
    </w:p>
    <w:p w14:paraId="54B6050C" w14:textId="77777777" w:rsidR="002061CB" w:rsidRPr="001D52E4" w:rsidRDefault="002061CB" w:rsidP="00CB6AA7">
      <w:pPr>
        <w:autoSpaceDE w:val="0"/>
        <w:autoSpaceDN w:val="0"/>
        <w:adjustRightInd w:val="0"/>
        <w:spacing w:before="240"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Genel tavsiye</w:t>
      </w:r>
      <w:r w:rsidR="00FB107C">
        <w:rPr>
          <w:rFonts w:ascii="Times New Roman" w:eastAsia="TimesNewRoman,Bold" w:hAnsi="Times New Roman" w:cs="Times New Roman"/>
          <w:b/>
          <w:bCs/>
          <w:sz w:val="24"/>
          <w:szCs w:val="24"/>
        </w:rPr>
        <w:t>:</w:t>
      </w:r>
    </w:p>
    <w:p w14:paraId="65EC7F4A" w14:textId="77777777" w:rsidR="002061CB" w:rsidRPr="001D52E4" w:rsidRDefault="00CB6AA7" w:rsidP="00CB6AA7">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Gebelik kategorisi</w:t>
      </w:r>
      <w:r w:rsidR="002061CB" w:rsidRPr="001D52E4">
        <w:rPr>
          <w:rFonts w:ascii="Times New Roman" w:eastAsia="TimesNewRoman" w:hAnsi="Times New Roman" w:cs="Times New Roman"/>
          <w:sz w:val="24"/>
          <w:szCs w:val="24"/>
        </w:rPr>
        <w:t xml:space="preserve"> </w:t>
      </w:r>
      <w:r w:rsidRPr="001D52E4">
        <w:rPr>
          <w:rFonts w:ascii="Times New Roman" w:eastAsia="TimesNewRoman" w:hAnsi="Times New Roman" w:cs="Times New Roman"/>
          <w:sz w:val="24"/>
          <w:szCs w:val="24"/>
        </w:rPr>
        <w:t>B’dir.</w:t>
      </w:r>
    </w:p>
    <w:p w14:paraId="3CDC233C" w14:textId="77777777" w:rsidR="002061CB" w:rsidRPr="001D52E4" w:rsidRDefault="00B566B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Çocuk</w:t>
      </w:r>
      <w:r w:rsidR="002061CB" w:rsidRPr="001D52E4">
        <w:rPr>
          <w:rFonts w:ascii="Times New Roman" w:eastAsia="TimesNewRoman,Bold" w:hAnsi="Times New Roman" w:cs="Times New Roman"/>
          <w:b/>
          <w:bCs/>
          <w:sz w:val="24"/>
          <w:szCs w:val="24"/>
        </w:rPr>
        <w:t xml:space="preserve"> doğurm</w:t>
      </w:r>
      <w:r w:rsidR="000A4A9A" w:rsidRPr="001D52E4">
        <w:rPr>
          <w:rFonts w:ascii="Times New Roman" w:eastAsia="TimesNewRoman,Bold" w:hAnsi="Times New Roman" w:cs="Times New Roman"/>
          <w:b/>
          <w:bCs/>
          <w:sz w:val="24"/>
          <w:szCs w:val="24"/>
        </w:rPr>
        <w:t>a potansiyeli bulunan kadınlar/D</w:t>
      </w:r>
      <w:r w:rsidR="002061CB" w:rsidRPr="001D52E4">
        <w:rPr>
          <w:rFonts w:ascii="Times New Roman" w:eastAsia="TimesNewRoman,Bold" w:hAnsi="Times New Roman" w:cs="Times New Roman"/>
          <w:b/>
          <w:bCs/>
          <w:sz w:val="24"/>
          <w:szCs w:val="24"/>
        </w:rPr>
        <w:t xml:space="preserve">oğum </w:t>
      </w:r>
      <w:r w:rsidRPr="001D52E4">
        <w:rPr>
          <w:rFonts w:ascii="Times New Roman" w:eastAsia="TimesNewRoman,Bold" w:hAnsi="Times New Roman" w:cs="Times New Roman"/>
          <w:b/>
          <w:bCs/>
          <w:sz w:val="24"/>
          <w:szCs w:val="24"/>
        </w:rPr>
        <w:t>kontrolü</w:t>
      </w:r>
      <w:r w:rsidR="00F6071E" w:rsidRPr="001D52E4">
        <w:rPr>
          <w:rFonts w:ascii="Times New Roman" w:eastAsia="TimesNewRoman,Bold" w:hAnsi="Times New Roman" w:cs="Times New Roman"/>
          <w:b/>
          <w:bCs/>
          <w:sz w:val="24"/>
          <w:szCs w:val="24"/>
        </w:rPr>
        <w:t xml:space="preserve"> (K</w:t>
      </w:r>
      <w:r w:rsidR="002061CB" w:rsidRPr="001D52E4">
        <w:rPr>
          <w:rFonts w:ascii="Times New Roman" w:eastAsia="TimesNewRoman,Bold" w:hAnsi="Times New Roman" w:cs="Times New Roman"/>
          <w:b/>
          <w:bCs/>
          <w:sz w:val="24"/>
          <w:szCs w:val="24"/>
        </w:rPr>
        <w:t>ontrasepsiyon)</w:t>
      </w:r>
      <w:r w:rsidR="00FB107C">
        <w:rPr>
          <w:rFonts w:ascii="Times New Roman" w:eastAsia="TimesNewRoman,Bold" w:hAnsi="Times New Roman" w:cs="Times New Roman"/>
          <w:b/>
          <w:bCs/>
          <w:sz w:val="24"/>
          <w:szCs w:val="24"/>
        </w:rPr>
        <w:t>:</w:t>
      </w:r>
    </w:p>
    <w:p w14:paraId="6440771B" w14:textId="77777777" w:rsidR="0004191A" w:rsidRPr="001D52E4" w:rsidRDefault="00CB6AA7" w:rsidP="00CB6AA7">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Sodyum pikosülfat için, gebeliklerde maruz kalmaya ilişkin klinik veri mevcut değildir.</w:t>
      </w:r>
    </w:p>
    <w:p w14:paraId="18263D7F" w14:textId="77777777" w:rsidR="002061CB" w:rsidRPr="001D52E4"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Gebelik d</w:t>
      </w:r>
      <w:r w:rsidR="00B566BB" w:rsidRPr="001D52E4">
        <w:rPr>
          <w:rFonts w:ascii="Times New Roman" w:eastAsia="TimesNewRoman,Bold" w:hAnsi="Times New Roman" w:cs="Times New Roman"/>
          <w:b/>
          <w:bCs/>
          <w:sz w:val="24"/>
          <w:szCs w:val="24"/>
        </w:rPr>
        <w:t>ö</w:t>
      </w:r>
      <w:r w:rsidRPr="001D52E4">
        <w:rPr>
          <w:rFonts w:ascii="Times New Roman" w:eastAsia="TimesNewRoman,Bold" w:hAnsi="Times New Roman" w:cs="Times New Roman"/>
          <w:b/>
          <w:bCs/>
          <w:sz w:val="24"/>
          <w:szCs w:val="24"/>
        </w:rPr>
        <w:t>nemi</w:t>
      </w:r>
      <w:r w:rsidR="00FB107C">
        <w:rPr>
          <w:rFonts w:ascii="Times New Roman" w:eastAsia="TimesNewRoman,Bold" w:hAnsi="Times New Roman" w:cs="Times New Roman"/>
          <w:b/>
          <w:bCs/>
          <w:sz w:val="24"/>
          <w:szCs w:val="24"/>
        </w:rPr>
        <w:t>:</w:t>
      </w:r>
    </w:p>
    <w:p w14:paraId="0E120030" w14:textId="0810B5F3" w:rsidR="002D4B94" w:rsidRDefault="002D4B94" w:rsidP="00CB6AA7">
      <w:pPr>
        <w:autoSpaceDE w:val="0"/>
        <w:autoSpaceDN w:val="0"/>
        <w:adjustRightInd w:val="0"/>
        <w:spacing w:after="0" w:line="360" w:lineRule="auto"/>
        <w:jc w:val="both"/>
        <w:rPr>
          <w:rFonts w:ascii="Times New Roman" w:eastAsia="TimesNewRoman,Bold" w:hAnsi="Times New Roman" w:cs="Times New Roman"/>
          <w:bCs/>
          <w:sz w:val="24"/>
          <w:szCs w:val="24"/>
        </w:rPr>
      </w:pPr>
      <w:r w:rsidRPr="002D4B94">
        <w:rPr>
          <w:rFonts w:ascii="Times New Roman" w:eastAsia="TimesNewRoman,Bold" w:hAnsi="Times New Roman" w:cs="Times New Roman"/>
          <w:bCs/>
          <w:sz w:val="24"/>
          <w:szCs w:val="24"/>
        </w:rPr>
        <w:t>Gebe kadınlar üzerinde yeterli klinik çalışma bulunmamaktadır. Hayvan çalışmaları 10 mg/kg ve üzerindeki günlük dozlarda üreme toksisitesi göstermiştir</w:t>
      </w:r>
      <w:r w:rsidR="00BE09E2">
        <w:rPr>
          <w:rFonts w:ascii="Times New Roman" w:eastAsia="TimesNewRoman,Bold" w:hAnsi="Times New Roman" w:cs="Times New Roman"/>
          <w:bCs/>
          <w:sz w:val="24"/>
          <w:szCs w:val="24"/>
        </w:rPr>
        <w:t xml:space="preserve"> (bkz. Bölüm 5.3). Güvenlilik açısından Piksatif mümkünse gebelik sırasında özellikle de ilk trimesterde kullanılmamalıdır. </w:t>
      </w:r>
    </w:p>
    <w:p w14:paraId="639DFD1D" w14:textId="77777777" w:rsidR="002D4B94" w:rsidRDefault="002D4B94" w:rsidP="00CB6AA7">
      <w:pPr>
        <w:autoSpaceDE w:val="0"/>
        <w:autoSpaceDN w:val="0"/>
        <w:adjustRightInd w:val="0"/>
        <w:spacing w:after="0" w:line="360" w:lineRule="auto"/>
        <w:jc w:val="both"/>
        <w:rPr>
          <w:rFonts w:ascii="Times New Roman" w:eastAsia="TimesNewRoman,Bold" w:hAnsi="Times New Roman" w:cs="Times New Roman"/>
          <w:bCs/>
          <w:sz w:val="24"/>
          <w:szCs w:val="24"/>
        </w:rPr>
      </w:pPr>
    </w:p>
    <w:p w14:paraId="3F042CE8" w14:textId="77777777" w:rsidR="002061CB" w:rsidRPr="001D52E4" w:rsidRDefault="00B566BB" w:rsidP="00CB6AA7">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Laktasyon dö</w:t>
      </w:r>
      <w:r w:rsidR="002061CB" w:rsidRPr="001D52E4">
        <w:rPr>
          <w:rFonts w:ascii="Times New Roman" w:eastAsia="TimesNewRoman,Bold" w:hAnsi="Times New Roman" w:cs="Times New Roman"/>
          <w:b/>
          <w:bCs/>
          <w:sz w:val="24"/>
          <w:szCs w:val="24"/>
        </w:rPr>
        <w:t>nemi</w:t>
      </w:r>
      <w:r w:rsidR="00FB107C">
        <w:rPr>
          <w:rFonts w:ascii="Times New Roman" w:eastAsia="TimesNewRoman,Bold" w:hAnsi="Times New Roman" w:cs="Times New Roman"/>
          <w:b/>
          <w:bCs/>
          <w:sz w:val="24"/>
          <w:szCs w:val="24"/>
        </w:rPr>
        <w:t>:</w:t>
      </w:r>
    </w:p>
    <w:p w14:paraId="1E3BA549" w14:textId="59C8C72A" w:rsidR="002D4B94" w:rsidRDefault="002D4B94"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2D4B94">
        <w:rPr>
          <w:rFonts w:ascii="Times New Roman" w:eastAsia="TimesNewRoman" w:hAnsi="Times New Roman" w:cs="Times New Roman"/>
          <w:sz w:val="24"/>
          <w:szCs w:val="24"/>
        </w:rPr>
        <w:t xml:space="preserve">Klinik veriler, ilacın aktif metaboliti olan BHMP </w:t>
      </w:r>
      <w:r w:rsidRPr="00F911EA">
        <w:rPr>
          <w:rFonts w:ascii="Times New Roman" w:eastAsia="TimesNewRoman" w:hAnsi="Times New Roman" w:cs="Times New Roman"/>
          <w:sz w:val="24"/>
          <w:szCs w:val="24"/>
        </w:rPr>
        <w:t>(bis-</w:t>
      </w:r>
      <w:r w:rsidR="00F911EA" w:rsidRPr="00F911EA">
        <w:rPr>
          <w:rFonts w:ascii="Times New Roman" w:eastAsia="TimesNewRoman" w:hAnsi="Times New Roman" w:cs="Times New Roman"/>
          <w:sz w:val="24"/>
          <w:szCs w:val="24"/>
        </w:rPr>
        <w:t>(</w:t>
      </w:r>
      <w:r w:rsidR="00073580" w:rsidRPr="00F911EA">
        <w:rPr>
          <w:rFonts w:ascii="Times New Roman" w:eastAsia="TimesNewRoman" w:hAnsi="Times New Roman" w:cs="Times New Roman"/>
          <w:color w:val="000000" w:themeColor="text1"/>
          <w:sz w:val="24"/>
          <w:szCs w:val="24"/>
        </w:rPr>
        <w:t>para</w:t>
      </w:r>
      <w:r w:rsidRPr="00F911EA">
        <w:rPr>
          <w:rFonts w:ascii="Times New Roman" w:eastAsia="TimesNewRoman" w:hAnsi="Times New Roman" w:cs="Times New Roman"/>
          <w:sz w:val="24"/>
          <w:szCs w:val="24"/>
        </w:rPr>
        <w:t>hidroksifenil)-</w:t>
      </w:r>
      <w:r w:rsidRPr="002D4B94">
        <w:rPr>
          <w:rFonts w:ascii="Times New Roman" w:eastAsia="TimesNewRoman" w:hAnsi="Times New Roman" w:cs="Times New Roman"/>
          <w:sz w:val="24"/>
          <w:szCs w:val="24"/>
        </w:rPr>
        <w:t xml:space="preserve">piridil-2-metan) ve </w:t>
      </w:r>
      <w:r w:rsidR="00BE09E2">
        <w:rPr>
          <w:rFonts w:ascii="Times New Roman" w:eastAsia="TimesNewRoman" w:hAnsi="Times New Roman" w:cs="Times New Roman"/>
          <w:sz w:val="24"/>
          <w:szCs w:val="24"/>
        </w:rPr>
        <w:t xml:space="preserve">glukoronidlerinin anne </w:t>
      </w:r>
      <w:r w:rsidRPr="002D4B94">
        <w:rPr>
          <w:rFonts w:ascii="Times New Roman" w:eastAsia="TimesNewRoman" w:hAnsi="Times New Roman" w:cs="Times New Roman"/>
          <w:sz w:val="24"/>
          <w:szCs w:val="24"/>
        </w:rPr>
        <w:t>sütüne geçmediğini göstermektedir. Bununla</w:t>
      </w:r>
      <w:r w:rsidRPr="002D4B94">
        <w:t xml:space="preserve"> </w:t>
      </w:r>
      <w:r w:rsidRPr="002D4B94">
        <w:rPr>
          <w:rFonts w:ascii="Times New Roman" w:eastAsia="TimesNewRoman" w:hAnsi="Times New Roman" w:cs="Times New Roman"/>
          <w:sz w:val="24"/>
          <w:szCs w:val="24"/>
        </w:rPr>
        <w:t xml:space="preserve">birlikte ilacın kullanımı ile beklenen tıbbi faydanın olası risklerden fazla olduğu durumlarda </w:t>
      </w:r>
      <w:r w:rsidR="0005295E">
        <w:rPr>
          <w:rFonts w:ascii="Times New Roman" w:eastAsia="TimesNewRoman" w:hAnsi="Times New Roman" w:cs="Times New Roman"/>
          <w:sz w:val="24"/>
          <w:szCs w:val="24"/>
        </w:rPr>
        <w:t>Pİ</w:t>
      </w:r>
      <w:r w:rsidR="00EB3032">
        <w:rPr>
          <w:rFonts w:ascii="Times New Roman" w:eastAsia="TimesNewRoman" w:hAnsi="Times New Roman" w:cs="Times New Roman"/>
          <w:sz w:val="24"/>
          <w:szCs w:val="24"/>
        </w:rPr>
        <w:t xml:space="preserve">KSATİF </w:t>
      </w:r>
      <w:r w:rsidRPr="002D4B94">
        <w:rPr>
          <w:rFonts w:ascii="Times New Roman" w:eastAsia="TimesNewRoman" w:hAnsi="Times New Roman" w:cs="Times New Roman"/>
          <w:sz w:val="24"/>
          <w:szCs w:val="24"/>
        </w:rPr>
        <w:t xml:space="preserve">emzirme döneminde kullanılabilir. </w:t>
      </w:r>
    </w:p>
    <w:p w14:paraId="7140B5A9" w14:textId="77777777" w:rsidR="002D4B94" w:rsidRDefault="002D4B94"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5A8613EC" w14:textId="77777777" w:rsidR="002061CB" w:rsidRPr="001D52E4" w:rsidRDefault="00B566B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Üreme</w:t>
      </w:r>
      <w:r w:rsidR="002061CB" w:rsidRPr="001D52E4">
        <w:rPr>
          <w:rFonts w:ascii="Times New Roman" w:eastAsia="TimesNewRoman,Bold" w:hAnsi="Times New Roman" w:cs="Times New Roman"/>
          <w:b/>
          <w:bCs/>
          <w:sz w:val="24"/>
          <w:szCs w:val="24"/>
        </w:rPr>
        <w:t xml:space="preserve"> yeteneği / Fertilite</w:t>
      </w:r>
      <w:r w:rsidR="00FB107C">
        <w:rPr>
          <w:rFonts w:ascii="Times New Roman" w:eastAsia="TimesNewRoman,Bold" w:hAnsi="Times New Roman" w:cs="Times New Roman"/>
          <w:b/>
          <w:bCs/>
          <w:sz w:val="24"/>
          <w:szCs w:val="24"/>
        </w:rPr>
        <w:t>:</w:t>
      </w:r>
    </w:p>
    <w:p w14:paraId="64B72491" w14:textId="77777777" w:rsidR="002D4B94" w:rsidRDefault="00CB6AA7" w:rsidP="00CB6AA7">
      <w:pPr>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 xml:space="preserve">İnsan fertilitesi üzerindeki etkilerine yönelik </w:t>
      </w:r>
      <w:r w:rsidR="002D4B94">
        <w:rPr>
          <w:rFonts w:ascii="Times New Roman" w:eastAsia="TimesNewRoman" w:hAnsi="Times New Roman" w:cs="Times New Roman"/>
          <w:sz w:val="24"/>
          <w:szCs w:val="24"/>
        </w:rPr>
        <w:t xml:space="preserve">klinik </w:t>
      </w:r>
      <w:r w:rsidRPr="001D52E4">
        <w:rPr>
          <w:rFonts w:ascii="Times New Roman" w:eastAsia="TimesNewRoman" w:hAnsi="Times New Roman" w:cs="Times New Roman"/>
          <w:sz w:val="24"/>
          <w:szCs w:val="24"/>
        </w:rPr>
        <w:t xml:space="preserve">çalışma yapılmamıştır. </w:t>
      </w:r>
      <w:r w:rsidR="002D4B94" w:rsidRPr="002D4B94">
        <w:rPr>
          <w:rFonts w:ascii="Times New Roman" w:eastAsia="TimesNewRoman" w:hAnsi="Times New Roman" w:cs="Times New Roman"/>
          <w:sz w:val="24"/>
          <w:szCs w:val="24"/>
        </w:rPr>
        <w:t xml:space="preserve">Hayvan çalışmaları fertilite üzerine herhangi bir etki göstermemiştir (Bkz. Bölüm 5.3). </w:t>
      </w:r>
    </w:p>
    <w:p w14:paraId="6102B4BA" w14:textId="77777777" w:rsidR="002061CB" w:rsidRPr="001D52E4" w:rsidRDefault="002061CB" w:rsidP="00CB6AA7">
      <w:pPr>
        <w:spacing w:line="360" w:lineRule="auto"/>
        <w:jc w:val="both"/>
        <w:rPr>
          <w:rFonts w:ascii="Times New Roman" w:hAnsi="Times New Roman" w:cs="Times New Roman"/>
          <w:sz w:val="24"/>
          <w:szCs w:val="24"/>
        </w:rPr>
      </w:pPr>
      <w:r w:rsidRPr="001D52E4">
        <w:rPr>
          <w:rFonts w:ascii="Times New Roman" w:eastAsia="TimesNewRoman,Bold" w:hAnsi="Times New Roman" w:cs="Times New Roman"/>
          <w:b/>
          <w:bCs/>
          <w:sz w:val="24"/>
          <w:szCs w:val="24"/>
        </w:rPr>
        <w:t xml:space="preserve">4.7. </w:t>
      </w:r>
      <w:r w:rsidR="00B566BB" w:rsidRPr="001D52E4">
        <w:rPr>
          <w:rFonts w:ascii="Times New Roman" w:eastAsia="TimesNewRoman,Bold" w:hAnsi="Times New Roman" w:cs="Times New Roman"/>
          <w:b/>
          <w:bCs/>
          <w:sz w:val="24"/>
          <w:szCs w:val="24"/>
        </w:rPr>
        <w:t>Araç</w:t>
      </w:r>
      <w:r w:rsidRPr="001D52E4">
        <w:rPr>
          <w:rFonts w:ascii="Times New Roman" w:eastAsia="TimesNewRoman,Bold" w:hAnsi="Times New Roman" w:cs="Times New Roman"/>
          <w:b/>
          <w:bCs/>
          <w:sz w:val="24"/>
          <w:szCs w:val="24"/>
        </w:rPr>
        <w:t xml:space="preserve"> ve </w:t>
      </w:r>
      <w:r w:rsidR="00B566BB" w:rsidRPr="001D52E4">
        <w:rPr>
          <w:rFonts w:ascii="Times New Roman" w:eastAsia="TimesNewRoman,Bold" w:hAnsi="Times New Roman" w:cs="Times New Roman"/>
          <w:b/>
          <w:bCs/>
          <w:sz w:val="24"/>
          <w:szCs w:val="24"/>
        </w:rPr>
        <w:t>makine</w:t>
      </w:r>
      <w:r w:rsidRPr="001D52E4">
        <w:rPr>
          <w:rFonts w:ascii="Times New Roman" w:eastAsia="TimesNewRoman,Bold" w:hAnsi="Times New Roman" w:cs="Times New Roman"/>
          <w:b/>
          <w:bCs/>
          <w:sz w:val="24"/>
          <w:szCs w:val="24"/>
        </w:rPr>
        <w:t xml:space="preserve"> kullanımı </w:t>
      </w:r>
      <w:r w:rsidR="00B566BB" w:rsidRPr="001D52E4">
        <w:rPr>
          <w:rFonts w:ascii="Times New Roman" w:eastAsia="TimesNewRoman,Bold" w:hAnsi="Times New Roman" w:cs="Times New Roman"/>
          <w:b/>
          <w:bCs/>
          <w:sz w:val="24"/>
          <w:szCs w:val="24"/>
        </w:rPr>
        <w:t>üzerindeki</w:t>
      </w:r>
      <w:r w:rsidRPr="001D52E4">
        <w:rPr>
          <w:rFonts w:ascii="Times New Roman" w:eastAsia="TimesNewRoman,Bold" w:hAnsi="Times New Roman" w:cs="Times New Roman"/>
          <w:b/>
          <w:bCs/>
          <w:sz w:val="24"/>
          <w:szCs w:val="24"/>
        </w:rPr>
        <w:t xml:space="preserve"> etkiler</w:t>
      </w:r>
    </w:p>
    <w:p w14:paraId="3FDC2C8C" w14:textId="77777777" w:rsidR="00CB6AA7" w:rsidRPr="001D52E4" w:rsidRDefault="00CB6AA7" w:rsidP="00CB6AA7">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Araç ve makine kullanma becerileri üzerindeki etkilerine yönelik çalışma yapılmamıştır.</w:t>
      </w:r>
    </w:p>
    <w:p w14:paraId="4CEB0905" w14:textId="5E86C4AC" w:rsidR="00D776FC" w:rsidRPr="001D52E4" w:rsidRDefault="00CB6AA7" w:rsidP="009A6A50">
      <w:pPr>
        <w:autoSpaceDE w:val="0"/>
        <w:autoSpaceDN w:val="0"/>
        <w:adjustRightInd w:val="0"/>
        <w:spacing w:before="240"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 xml:space="preserve">Hastalar yine de, bir vazovagal yanıt (örn. abdominal spazma karşı) nedeniyle, baş dönmesi </w:t>
      </w:r>
      <w:r w:rsidR="002D4B94">
        <w:rPr>
          <w:rFonts w:ascii="Times New Roman" w:eastAsia="TimesNewRoman" w:hAnsi="Times New Roman" w:cs="Times New Roman"/>
          <w:sz w:val="24"/>
          <w:szCs w:val="24"/>
        </w:rPr>
        <w:t>ve/veya</w:t>
      </w:r>
      <w:r w:rsidRPr="001D52E4">
        <w:rPr>
          <w:rFonts w:ascii="Times New Roman" w:eastAsia="TimesNewRoman" w:hAnsi="Times New Roman" w:cs="Times New Roman"/>
          <w:sz w:val="24"/>
          <w:szCs w:val="24"/>
        </w:rPr>
        <w:t xml:space="preserve"> senkop geçirebilecekleri yönünden uyarılmalıdır. Eğer hastalar abdominal spazm geçirirlerse, araba kullanma ve makine işletme gibi tehlike potansiyeli taşıyan işlerden uzak durmalıdırlar.</w:t>
      </w:r>
    </w:p>
    <w:p w14:paraId="50361FAF" w14:textId="77777777" w:rsidR="002061CB" w:rsidRPr="001D52E4"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lastRenderedPageBreak/>
        <w:t xml:space="preserve">4.8. </w:t>
      </w:r>
      <w:r w:rsidR="00B566BB" w:rsidRPr="001D52E4">
        <w:rPr>
          <w:rFonts w:ascii="Times New Roman" w:eastAsia="TimesNewRoman,Bold" w:hAnsi="Times New Roman" w:cs="Times New Roman"/>
          <w:b/>
          <w:bCs/>
          <w:sz w:val="24"/>
          <w:szCs w:val="24"/>
        </w:rPr>
        <w:t>İstenmeyen</w:t>
      </w:r>
      <w:r w:rsidRPr="001D52E4">
        <w:rPr>
          <w:rFonts w:ascii="Times New Roman" w:eastAsia="TimesNewRoman,Bold" w:hAnsi="Times New Roman" w:cs="Times New Roman"/>
          <w:b/>
          <w:bCs/>
          <w:sz w:val="24"/>
          <w:szCs w:val="24"/>
        </w:rPr>
        <w:t xml:space="preserve"> etkiler</w:t>
      </w:r>
    </w:p>
    <w:p w14:paraId="476A60E7" w14:textId="77777777" w:rsidR="00414024" w:rsidRPr="001D52E4" w:rsidRDefault="00414024"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Aşağıdaki listede belirtilen istenmeyen etkilerin sıklık</w:t>
      </w:r>
      <w:r w:rsidR="00A07990">
        <w:rPr>
          <w:rFonts w:ascii="Times New Roman" w:eastAsia="TimesNewRoman,Bold" w:hAnsi="Times New Roman" w:cs="Times New Roman"/>
          <w:bCs/>
          <w:sz w:val="24"/>
          <w:szCs w:val="24"/>
        </w:rPr>
        <w:t xml:space="preserve"> oranları</w:t>
      </w:r>
      <w:r w:rsidRPr="001D52E4">
        <w:rPr>
          <w:rFonts w:ascii="Times New Roman" w:eastAsia="TimesNewRoman,Bold" w:hAnsi="Times New Roman" w:cs="Times New Roman"/>
          <w:bCs/>
          <w:sz w:val="24"/>
          <w:szCs w:val="24"/>
        </w:rPr>
        <w:t xml:space="preserve"> şu şekildedir:</w:t>
      </w:r>
    </w:p>
    <w:p w14:paraId="57146013" w14:textId="77777777" w:rsidR="00414024" w:rsidRPr="001D52E4" w:rsidRDefault="00414024"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Çok yaygın              ≥1/10</w:t>
      </w:r>
    </w:p>
    <w:p w14:paraId="43B690CB" w14:textId="77777777" w:rsidR="00414024" w:rsidRPr="001D52E4" w:rsidRDefault="00414024"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 xml:space="preserve">Yaygın          </w:t>
      </w:r>
      <w:r w:rsidR="00FB107C">
        <w:rPr>
          <w:rFonts w:ascii="Times New Roman" w:eastAsia="TimesNewRoman,Bold" w:hAnsi="Times New Roman" w:cs="Times New Roman"/>
          <w:bCs/>
          <w:sz w:val="24"/>
          <w:szCs w:val="24"/>
        </w:rPr>
        <w:t xml:space="preserve">           ≥1/100 </w:t>
      </w:r>
      <w:r w:rsidRPr="001D52E4">
        <w:rPr>
          <w:rFonts w:ascii="Times New Roman" w:eastAsia="TimesNewRoman,Bold" w:hAnsi="Times New Roman" w:cs="Times New Roman"/>
          <w:bCs/>
          <w:sz w:val="24"/>
          <w:szCs w:val="24"/>
        </w:rPr>
        <w:t>&lt;1/10</w:t>
      </w:r>
    </w:p>
    <w:p w14:paraId="4DDD980F" w14:textId="77777777" w:rsidR="00414024" w:rsidRPr="001D52E4" w:rsidRDefault="00414024"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Yaygın olmayan      ≥1/1</w:t>
      </w:r>
      <w:r w:rsidR="00A07990">
        <w:rPr>
          <w:rFonts w:ascii="Times New Roman" w:eastAsia="TimesNewRoman,Bold" w:hAnsi="Times New Roman" w:cs="Times New Roman"/>
          <w:bCs/>
          <w:sz w:val="24"/>
          <w:szCs w:val="24"/>
        </w:rPr>
        <w:t>,</w:t>
      </w:r>
      <w:r w:rsidRPr="001D52E4">
        <w:rPr>
          <w:rFonts w:ascii="Times New Roman" w:eastAsia="TimesNewRoman,Bold" w:hAnsi="Times New Roman" w:cs="Times New Roman"/>
          <w:bCs/>
          <w:sz w:val="24"/>
          <w:szCs w:val="24"/>
        </w:rPr>
        <w:t>000 &lt;1/100</w:t>
      </w:r>
    </w:p>
    <w:p w14:paraId="491F48E5" w14:textId="77777777" w:rsidR="00414024" w:rsidRPr="001D52E4" w:rsidRDefault="00414024"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Seyrek                      ≥1/10</w:t>
      </w:r>
      <w:r w:rsidR="00A07990">
        <w:rPr>
          <w:rFonts w:ascii="Times New Roman" w:eastAsia="TimesNewRoman,Bold" w:hAnsi="Times New Roman" w:cs="Times New Roman"/>
          <w:bCs/>
          <w:sz w:val="24"/>
          <w:szCs w:val="24"/>
        </w:rPr>
        <w:t>,</w:t>
      </w:r>
      <w:r w:rsidRPr="001D52E4">
        <w:rPr>
          <w:rFonts w:ascii="Times New Roman" w:eastAsia="TimesNewRoman,Bold" w:hAnsi="Times New Roman" w:cs="Times New Roman"/>
          <w:bCs/>
          <w:sz w:val="24"/>
          <w:szCs w:val="24"/>
        </w:rPr>
        <w:t>000 &lt;1/1</w:t>
      </w:r>
      <w:r w:rsidR="00A07990">
        <w:rPr>
          <w:rFonts w:ascii="Times New Roman" w:eastAsia="TimesNewRoman,Bold" w:hAnsi="Times New Roman" w:cs="Times New Roman"/>
          <w:bCs/>
          <w:sz w:val="24"/>
          <w:szCs w:val="24"/>
        </w:rPr>
        <w:t>,</w:t>
      </w:r>
      <w:r w:rsidRPr="001D52E4">
        <w:rPr>
          <w:rFonts w:ascii="Times New Roman" w:eastAsia="TimesNewRoman,Bold" w:hAnsi="Times New Roman" w:cs="Times New Roman"/>
          <w:bCs/>
          <w:sz w:val="24"/>
          <w:szCs w:val="24"/>
        </w:rPr>
        <w:t>000</w:t>
      </w:r>
    </w:p>
    <w:p w14:paraId="503C640A" w14:textId="77777777" w:rsidR="002061CB" w:rsidRPr="001D52E4" w:rsidRDefault="00414024"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Çok seyrek              &lt;1/10</w:t>
      </w:r>
      <w:r w:rsidR="00A07990">
        <w:rPr>
          <w:rFonts w:ascii="Times New Roman" w:eastAsia="TimesNewRoman,Bold" w:hAnsi="Times New Roman" w:cs="Times New Roman"/>
          <w:bCs/>
          <w:sz w:val="24"/>
          <w:szCs w:val="24"/>
        </w:rPr>
        <w:t>,</w:t>
      </w:r>
      <w:r w:rsidRPr="001D52E4">
        <w:rPr>
          <w:rFonts w:ascii="Times New Roman" w:eastAsia="TimesNewRoman,Bold" w:hAnsi="Times New Roman" w:cs="Times New Roman"/>
          <w:bCs/>
          <w:sz w:val="24"/>
          <w:szCs w:val="24"/>
        </w:rPr>
        <w:t>000</w:t>
      </w:r>
    </w:p>
    <w:p w14:paraId="37D6AE39" w14:textId="77777777" w:rsidR="00414024" w:rsidRPr="001D52E4" w:rsidRDefault="00CB6AA7"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Bold" w:hAnsi="Times New Roman" w:cs="Times New Roman"/>
          <w:bCs/>
          <w:sz w:val="24"/>
          <w:szCs w:val="24"/>
        </w:rPr>
        <w:t>Bilinmiyor (eldeki verilerden hareketle tahmin edilemiyor)</w:t>
      </w:r>
    </w:p>
    <w:p w14:paraId="41E68B56" w14:textId="77777777" w:rsidR="00921BE2" w:rsidRPr="001D52E4" w:rsidRDefault="00921BE2" w:rsidP="000251B8">
      <w:pPr>
        <w:autoSpaceDE w:val="0"/>
        <w:autoSpaceDN w:val="0"/>
        <w:adjustRightInd w:val="0"/>
        <w:spacing w:after="0" w:line="360" w:lineRule="auto"/>
        <w:jc w:val="both"/>
        <w:rPr>
          <w:rFonts w:ascii="Times New Roman" w:eastAsia="TimesNewRoman" w:hAnsi="Times New Roman" w:cs="Times New Roman"/>
          <w:sz w:val="24"/>
          <w:szCs w:val="24"/>
        </w:rPr>
      </w:pPr>
    </w:p>
    <w:p w14:paraId="447C38C9" w14:textId="77777777" w:rsidR="00921BE2" w:rsidRPr="001D52E4" w:rsidRDefault="00921BE2" w:rsidP="000251B8">
      <w:pPr>
        <w:autoSpaceDE w:val="0"/>
        <w:autoSpaceDN w:val="0"/>
        <w:adjustRightInd w:val="0"/>
        <w:spacing w:after="0" w:line="360" w:lineRule="auto"/>
        <w:jc w:val="both"/>
        <w:rPr>
          <w:rFonts w:ascii="Times New Roman" w:eastAsia="TimesNewRoman" w:hAnsi="Times New Roman" w:cs="Times New Roman"/>
          <w:b/>
          <w:sz w:val="24"/>
          <w:szCs w:val="24"/>
        </w:rPr>
      </w:pPr>
      <w:r w:rsidRPr="001D52E4">
        <w:rPr>
          <w:rFonts w:ascii="Times New Roman" w:eastAsia="TimesNewRoman" w:hAnsi="Times New Roman" w:cs="Times New Roman"/>
          <w:b/>
          <w:sz w:val="24"/>
          <w:szCs w:val="24"/>
        </w:rPr>
        <w:t>Bağışıklık sistemi hastalıkları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6996"/>
      </w:tblGrid>
      <w:tr w:rsidR="00CB6AA7" w:rsidRPr="001D52E4" w14:paraId="2BBC072A" w14:textId="77777777" w:rsidTr="00CB6AA7">
        <w:tc>
          <w:tcPr>
            <w:tcW w:w="2093" w:type="dxa"/>
          </w:tcPr>
          <w:p w14:paraId="6C9B48FD" w14:textId="77777777" w:rsidR="00CB6AA7" w:rsidRPr="001D52E4" w:rsidRDefault="00CB6AA7" w:rsidP="000251B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Bilinmiyor:</w:t>
            </w:r>
          </w:p>
        </w:tc>
        <w:tc>
          <w:tcPr>
            <w:tcW w:w="7119" w:type="dxa"/>
          </w:tcPr>
          <w:p w14:paraId="1C4C072D" w14:textId="77777777" w:rsidR="00CB6AA7" w:rsidRPr="001D52E4" w:rsidRDefault="00712968" w:rsidP="000251B8">
            <w:pPr>
              <w:autoSpaceDE w:val="0"/>
              <w:autoSpaceDN w:val="0"/>
              <w:adjustRightInd w:val="0"/>
              <w:spacing w:line="360" w:lineRule="auto"/>
              <w:jc w:val="both"/>
              <w:rPr>
                <w:rFonts w:ascii="Times New Roman" w:eastAsia="TimesNewRoman" w:hAnsi="Times New Roman" w:cs="Times New Roman"/>
                <w:sz w:val="24"/>
                <w:szCs w:val="24"/>
              </w:rPr>
            </w:pPr>
            <w:r w:rsidRPr="00712968">
              <w:rPr>
                <w:rFonts w:ascii="Times New Roman" w:eastAsia="TimesNewRoman" w:hAnsi="Times New Roman" w:cs="Times New Roman"/>
                <w:sz w:val="24"/>
                <w:szCs w:val="24"/>
              </w:rPr>
              <w:t>Aşırı duyarlılık reaksiyonları (deri reaksiyonları dahil)</w:t>
            </w:r>
          </w:p>
        </w:tc>
      </w:tr>
    </w:tbl>
    <w:p w14:paraId="676BAA7A" w14:textId="77777777" w:rsidR="00921BE2" w:rsidRPr="001D52E4" w:rsidRDefault="00921BE2" w:rsidP="00CB6AA7">
      <w:pPr>
        <w:tabs>
          <w:tab w:val="left" w:pos="5910"/>
        </w:tabs>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ab/>
      </w:r>
    </w:p>
    <w:p w14:paraId="2877EA74" w14:textId="77777777" w:rsidR="00324886" w:rsidRPr="001D52E4" w:rsidRDefault="0032488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Sinir sistemi hastalıkları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6994"/>
      </w:tblGrid>
      <w:tr w:rsidR="00CB6AA7" w:rsidRPr="001D52E4" w14:paraId="599A096F" w14:textId="77777777" w:rsidTr="00877F58">
        <w:tc>
          <w:tcPr>
            <w:tcW w:w="2093" w:type="dxa"/>
          </w:tcPr>
          <w:p w14:paraId="1B6A3FB5" w14:textId="77777777" w:rsidR="00CB6AA7" w:rsidRPr="001D52E4" w:rsidRDefault="00CB6AA7"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Yaygın olmayan:</w:t>
            </w:r>
          </w:p>
        </w:tc>
        <w:tc>
          <w:tcPr>
            <w:tcW w:w="7119" w:type="dxa"/>
          </w:tcPr>
          <w:p w14:paraId="561AB4E1" w14:textId="77777777" w:rsidR="00CB6AA7" w:rsidRPr="001D52E4" w:rsidRDefault="00CB6AA7"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Baş dönmesi</w:t>
            </w:r>
          </w:p>
        </w:tc>
      </w:tr>
      <w:tr w:rsidR="00CB6AA7" w:rsidRPr="001D52E4" w14:paraId="2105AD3A" w14:textId="77777777" w:rsidTr="00877F58">
        <w:tc>
          <w:tcPr>
            <w:tcW w:w="2093" w:type="dxa"/>
          </w:tcPr>
          <w:p w14:paraId="0568BE2C" w14:textId="77777777" w:rsidR="00CB6AA7" w:rsidRPr="001D52E4" w:rsidRDefault="00CB6AA7"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Bilinmiyor:</w:t>
            </w:r>
          </w:p>
        </w:tc>
        <w:tc>
          <w:tcPr>
            <w:tcW w:w="7119" w:type="dxa"/>
          </w:tcPr>
          <w:p w14:paraId="1E543F1B" w14:textId="77777777" w:rsidR="00CB6AA7" w:rsidRPr="001D52E4" w:rsidRDefault="00CB6AA7"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Senkop</w:t>
            </w:r>
          </w:p>
        </w:tc>
      </w:tr>
    </w:tbl>
    <w:p w14:paraId="71D3494F" w14:textId="77777777" w:rsidR="00324886" w:rsidRPr="001D52E4" w:rsidRDefault="0032488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51B0413A" w14:textId="77777777" w:rsidR="004E512B" w:rsidRPr="001D52E4" w:rsidRDefault="004E512B" w:rsidP="004E512B">
      <w:pPr>
        <w:autoSpaceDE w:val="0"/>
        <w:autoSpaceDN w:val="0"/>
        <w:adjustRightInd w:val="0"/>
        <w:spacing w:after="0" w:line="360" w:lineRule="auto"/>
        <w:jc w:val="both"/>
        <w:rPr>
          <w:rFonts w:ascii="Times New Roman" w:eastAsia="TimesNewRoman,Bold" w:hAnsi="Times New Roman" w:cs="Times New Roman"/>
          <w:bCs/>
          <w:sz w:val="24"/>
          <w:szCs w:val="24"/>
        </w:rPr>
      </w:pPr>
      <w:r w:rsidRPr="001D52E4">
        <w:rPr>
          <w:rFonts w:ascii="Times New Roman" w:eastAsia="TimesNewRoman,Bold" w:hAnsi="Times New Roman" w:cs="Times New Roman"/>
          <w:bCs/>
          <w:sz w:val="24"/>
          <w:szCs w:val="24"/>
        </w:rPr>
        <w:t>Sodyum pikosülfat aldıktan sonra ortaya çıkan baş dönmesi ve senkopun, bir vazovagal yanıt ile uyumlu olduğu görünmektedir (örn. abdominal spazm</w:t>
      </w:r>
      <w:r w:rsidR="00712968">
        <w:rPr>
          <w:rFonts w:ascii="Times New Roman" w:eastAsia="TimesNewRoman,Bold" w:hAnsi="Times New Roman" w:cs="Times New Roman"/>
          <w:bCs/>
          <w:sz w:val="24"/>
          <w:szCs w:val="24"/>
        </w:rPr>
        <w:t xml:space="preserve">lara ya da </w:t>
      </w:r>
      <w:r w:rsidRPr="001D52E4">
        <w:rPr>
          <w:rFonts w:ascii="Times New Roman" w:eastAsia="TimesNewRoman,Bold" w:hAnsi="Times New Roman" w:cs="Times New Roman"/>
          <w:bCs/>
          <w:sz w:val="24"/>
          <w:szCs w:val="24"/>
        </w:rPr>
        <w:t>defekasyona karşı)</w:t>
      </w:r>
      <w:r w:rsidR="00712968">
        <w:rPr>
          <w:rFonts w:ascii="Times New Roman" w:eastAsia="TimesNewRoman,Bold" w:hAnsi="Times New Roman" w:cs="Times New Roman"/>
          <w:bCs/>
          <w:sz w:val="24"/>
          <w:szCs w:val="24"/>
        </w:rPr>
        <w:t xml:space="preserve"> </w:t>
      </w:r>
      <w:r w:rsidR="00712968" w:rsidRPr="00712968">
        <w:rPr>
          <w:rFonts w:ascii="Times New Roman" w:eastAsia="TimesNewRoman,Bold" w:hAnsi="Times New Roman" w:cs="Times New Roman"/>
          <w:bCs/>
          <w:sz w:val="24"/>
          <w:szCs w:val="24"/>
        </w:rPr>
        <w:t>(bölüm 4.4 Özel kullanım uyarıları ve önlemleri’ne de bakınız)</w:t>
      </w:r>
      <w:r w:rsidRPr="001D52E4">
        <w:rPr>
          <w:rFonts w:ascii="Times New Roman" w:eastAsia="TimesNewRoman,Bold" w:hAnsi="Times New Roman" w:cs="Times New Roman"/>
          <w:bCs/>
          <w:sz w:val="24"/>
          <w:szCs w:val="24"/>
        </w:rPr>
        <w:t>.</w:t>
      </w:r>
    </w:p>
    <w:p w14:paraId="71C32CB4" w14:textId="77777777" w:rsidR="00FB107C" w:rsidRPr="001D52E4" w:rsidRDefault="00FB107C" w:rsidP="000251B8">
      <w:pPr>
        <w:tabs>
          <w:tab w:val="left" w:pos="3135"/>
        </w:tabs>
        <w:autoSpaceDE w:val="0"/>
        <w:autoSpaceDN w:val="0"/>
        <w:adjustRightInd w:val="0"/>
        <w:spacing w:after="0" w:line="360" w:lineRule="auto"/>
        <w:jc w:val="both"/>
        <w:rPr>
          <w:rFonts w:ascii="Times New Roman" w:eastAsia="TimesNewRoman,Bold" w:hAnsi="Times New Roman" w:cs="Times New Roman"/>
          <w:b/>
          <w:bCs/>
          <w:sz w:val="24"/>
          <w:szCs w:val="24"/>
        </w:rPr>
      </w:pPr>
    </w:p>
    <w:p w14:paraId="6796DF0A" w14:textId="77777777" w:rsidR="00D35A4C" w:rsidRPr="001D52E4" w:rsidRDefault="00D35A4C" w:rsidP="000251B8">
      <w:pPr>
        <w:tabs>
          <w:tab w:val="left" w:pos="3135"/>
        </w:tabs>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Gastrointestinal hastalıklar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7000"/>
      </w:tblGrid>
      <w:tr w:rsidR="004E512B" w:rsidRPr="001D52E4" w14:paraId="54194E51" w14:textId="77777777" w:rsidTr="00877F58">
        <w:tc>
          <w:tcPr>
            <w:tcW w:w="2093" w:type="dxa"/>
          </w:tcPr>
          <w:p w14:paraId="21F760F8" w14:textId="77777777" w:rsidR="004E512B" w:rsidRPr="001D52E4"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Çok yaygın:</w:t>
            </w:r>
          </w:p>
        </w:tc>
        <w:tc>
          <w:tcPr>
            <w:tcW w:w="7119" w:type="dxa"/>
          </w:tcPr>
          <w:p w14:paraId="2A4FD7DF" w14:textId="77777777" w:rsidR="004E512B" w:rsidRPr="001D52E4"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Diyare</w:t>
            </w:r>
          </w:p>
        </w:tc>
      </w:tr>
      <w:tr w:rsidR="004E512B" w:rsidRPr="001D52E4" w14:paraId="027B1B6A" w14:textId="77777777" w:rsidTr="00877F58">
        <w:tc>
          <w:tcPr>
            <w:tcW w:w="2093" w:type="dxa"/>
          </w:tcPr>
          <w:p w14:paraId="69DE5E21" w14:textId="77777777" w:rsidR="004E512B" w:rsidRPr="001D52E4"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Yaygın:</w:t>
            </w:r>
          </w:p>
        </w:tc>
        <w:tc>
          <w:tcPr>
            <w:tcW w:w="7119" w:type="dxa"/>
          </w:tcPr>
          <w:p w14:paraId="12CDF6A0" w14:textId="77777777" w:rsidR="004E512B" w:rsidRPr="001D52E4"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 xml:space="preserve">Abdominal </w:t>
            </w:r>
            <w:r w:rsidR="00712968">
              <w:rPr>
                <w:rFonts w:ascii="Times New Roman" w:eastAsia="TimesNewRoman" w:hAnsi="Times New Roman" w:cs="Times New Roman"/>
                <w:sz w:val="24"/>
                <w:szCs w:val="24"/>
              </w:rPr>
              <w:t>huzursuzluk</w:t>
            </w:r>
            <w:r w:rsidRPr="001D52E4">
              <w:rPr>
                <w:rFonts w:ascii="Times New Roman" w:eastAsia="TimesNewRoman" w:hAnsi="Times New Roman" w:cs="Times New Roman"/>
                <w:sz w:val="24"/>
                <w:szCs w:val="24"/>
              </w:rPr>
              <w:t xml:space="preserve">, abdominal ağrı, abdominal </w:t>
            </w:r>
            <w:r w:rsidR="00712968">
              <w:rPr>
                <w:rFonts w:ascii="Times New Roman" w:eastAsia="TimesNewRoman" w:hAnsi="Times New Roman" w:cs="Times New Roman"/>
                <w:sz w:val="24"/>
                <w:szCs w:val="24"/>
              </w:rPr>
              <w:t>kramplar</w:t>
            </w:r>
          </w:p>
        </w:tc>
      </w:tr>
      <w:tr w:rsidR="004E512B" w:rsidRPr="001D52E4" w14:paraId="52B7B894" w14:textId="77777777" w:rsidTr="00877F58">
        <w:tc>
          <w:tcPr>
            <w:tcW w:w="2093" w:type="dxa"/>
          </w:tcPr>
          <w:p w14:paraId="47D76954" w14:textId="77777777" w:rsidR="004E512B" w:rsidRPr="001D52E4" w:rsidRDefault="004E512B" w:rsidP="004E512B">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Yaygın olmayan:</w:t>
            </w:r>
          </w:p>
        </w:tc>
        <w:tc>
          <w:tcPr>
            <w:tcW w:w="7119" w:type="dxa"/>
          </w:tcPr>
          <w:p w14:paraId="2DF0A1B9" w14:textId="77777777" w:rsidR="004E512B"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Kusma, bulantı</w:t>
            </w:r>
          </w:p>
          <w:p w14:paraId="0378F766" w14:textId="77777777" w:rsidR="00712968" w:rsidRPr="001D52E4" w:rsidRDefault="00712968" w:rsidP="00877F58">
            <w:pPr>
              <w:autoSpaceDE w:val="0"/>
              <w:autoSpaceDN w:val="0"/>
              <w:adjustRightInd w:val="0"/>
              <w:spacing w:line="360" w:lineRule="auto"/>
              <w:jc w:val="both"/>
              <w:rPr>
                <w:rFonts w:ascii="Times New Roman" w:eastAsia="TimesNewRoman" w:hAnsi="Times New Roman" w:cs="Times New Roman"/>
                <w:sz w:val="24"/>
                <w:szCs w:val="24"/>
              </w:rPr>
            </w:pPr>
          </w:p>
        </w:tc>
      </w:tr>
    </w:tbl>
    <w:p w14:paraId="6D30EC44" w14:textId="77777777" w:rsidR="00712968" w:rsidRPr="00712968" w:rsidRDefault="00712968" w:rsidP="00712968">
      <w:pPr>
        <w:tabs>
          <w:tab w:val="left" w:pos="3135"/>
        </w:tabs>
        <w:autoSpaceDE w:val="0"/>
        <w:autoSpaceDN w:val="0"/>
        <w:adjustRightInd w:val="0"/>
        <w:spacing w:after="0" w:line="360" w:lineRule="auto"/>
        <w:jc w:val="both"/>
        <w:rPr>
          <w:rFonts w:ascii="Times New Roman" w:eastAsia="TimesNewRoman,Bold" w:hAnsi="Times New Roman" w:cs="Times New Roman"/>
          <w:b/>
          <w:bCs/>
          <w:sz w:val="24"/>
          <w:szCs w:val="24"/>
        </w:rPr>
      </w:pPr>
      <w:r w:rsidRPr="00712968">
        <w:rPr>
          <w:rFonts w:ascii="Times New Roman" w:eastAsia="TimesNewRoman,Bold" w:hAnsi="Times New Roman" w:cs="Times New Roman"/>
          <w:b/>
          <w:bCs/>
          <w:sz w:val="24"/>
          <w:szCs w:val="24"/>
        </w:rPr>
        <w:t>Deri ve derialtı doku hastalıkları</w:t>
      </w:r>
    </w:p>
    <w:p w14:paraId="08E4D921" w14:textId="4F3072D3" w:rsidR="00D35A4C" w:rsidRDefault="00712968" w:rsidP="00712968">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rPr>
      </w:pPr>
      <w:r w:rsidRPr="00712968">
        <w:rPr>
          <w:rFonts w:ascii="Times New Roman" w:eastAsia="TimesNewRoman,Bold" w:hAnsi="Times New Roman" w:cs="Times New Roman"/>
          <w:bCs/>
          <w:sz w:val="24"/>
          <w:szCs w:val="24"/>
        </w:rPr>
        <w:t>Bilinmiyor: Anjiyoödem, ilaç döküntüsü, kızarıklık, kaşıntı</w:t>
      </w:r>
      <w:r w:rsidR="009A6A50">
        <w:rPr>
          <w:rFonts w:ascii="Times New Roman" w:eastAsia="TimesNewRoman,Bold" w:hAnsi="Times New Roman" w:cs="Times New Roman"/>
          <w:bCs/>
          <w:sz w:val="24"/>
          <w:szCs w:val="24"/>
        </w:rPr>
        <w:t xml:space="preserve"> gibi deri reaksiyonları</w:t>
      </w:r>
    </w:p>
    <w:p w14:paraId="4E6A742B" w14:textId="77777777" w:rsidR="00712968" w:rsidRDefault="00712968" w:rsidP="00712968">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rPr>
      </w:pPr>
    </w:p>
    <w:p w14:paraId="64F783C4" w14:textId="1A2D3103" w:rsidR="00C40FAF" w:rsidRDefault="00FF3CD5" w:rsidP="00712968">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rPr>
      </w:pPr>
      <w:r w:rsidRPr="00335570">
        <w:rPr>
          <w:rFonts w:ascii="Times New Roman" w:eastAsia="TimesNewRoman,Bold" w:hAnsi="Times New Roman" w:cs="Times New Roman"/>
          <w:bCs/>
          <w:sz w:val="24"/>
          <w:szCs w:val="24"/>
        </w:rPr>
        <w:t>PİKSATİF’in</w:t>
      </w:r>
      <w:r>
        <w:rPr>
          <w:rFonts w:ascii="Times New Roman" w:eastAsia="TimesNewRoman,Bold" w:hAnsi="Times New Roman" w:cs="Times New Roman"/>
          <w:bCs/>
          <w:sz w:val="24"/>
          <w:szCs w:val="24"/>
        </w:rPr>
        <w:t xml:space="preserve"> </w:t>
      </w:r>
      <w:r w:rsidR="00C40FAF" w:rsidRPr="00C40FAF">
        <w:rPr>
          <w:rFonts w:ascii="Times New Roman" w:eastAsia="TimesNewRoman,Bold" w:hAnsi="Times New Roman" w:cs="Times New Roman"/>
          <w:bCs/>
          <w:sz w:val="24"/>
          <w:szCs w:val="24"/>
        </w:rPr>
        <w:t>uzun süreli ve aşırı kullanımı su, potasyum ve diğer elektrolitlerin kaybı ile sonuçlanabilir. Sıvı ve elektrolit kaybına bağlı olarak kas zayıflığı ve kardiyak fonksiyon bozuklukları gelişebilir. Bu durum özellikle</w:t>
      </w:r>
      <w:r>
        <w:rPr>
          <w:rFonts w:ascii="Times New Roman" w:eastAsia="TimesNewRoman,Bold" w:hAnsi="Times New Roman" w:cs="Times New Roman"/>
          <w:bCs/>
          <w:sz w:val="24"/>
          <w:szCs w:val="24"/>
        </w:rPr>
        <w:t xml:space="preserve"> </w:t>
      </w:r>
      <w:r w:rsidRPr="00335570">
        <w:rPr>
          <w:rFonts w:ascii="Times New Roman" w:eastAsia="TimesNewRoman,Bold" w:hAnsi="Times New Roman" w:cs="Times New Roman"/>
          <w:bCs/>
          <w:sz w:val="24"/>
          <w:szCs w:val="24"/>
        </w:rPr>
        <w:t>PİKSATİF</w:t>
      </w:r>
      <w:r>
        <w:rPr>
          <w:rFonts w:ascii="Times New Roman" w:eastAsia="TimesNewRoman,Bold" w:hAnsi="Times New Roman" w:cs="Times New Roman"/>
          <w:bCs/>
          <w:sz w:val="24"/>
          <w:szCs w:val="24"/>
        </w:rPr>
        <w:t xml:space="preserve"> </w:t>
      </w:r>
      <w:r w:rsidR="00C40FAF" w:rsidRPr="00C40FAF">
        <w:rPr>
          <w:rFonts w:ascii="Times New Roman" w:eastAsia="TimesNewRoman,Bold" w:hAnsi="Times New Roman" w:cs="Times New Roman"/>
          <w:bCs/>
          <w:sz w:val="24"/>
          <w:szCs w:val="24"/>
        </w:rPr>
        <w:t>diüretikler veya kortikosteroidler ile aynı anda kullanıldığında olabilir.</w:t>
      </w:r>
    </w:p>
    <w:p w14:paraId="0686D07F" w14:textId="77777777" w:rsidR="00C40FAF" w:rsidRPr="00712968" w:rsidRDefault="00C40FAF" w:rsidP="00712968">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rPr>
      </w:pPr>
    </w:p>
    <w:p w14:paraId="7CF946E3" w14:textId="77777777" w:rsidR="008F6E6A" w:rsidRPr="001D52E4" w:rsidRDefault="008F6E6A" w:rsidP="008F6E6A">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u w:val="single"/>
        </w:rPr>
      </w:pPr>
      <w:r w:rsidRPr="004B1110">
        <w:rPr>
          <w:rFonts w:ascii="Times New Roman" w:eastAsia="TimesNewRoman,Bold" w:hAnsi="Times New Roman" w:cs="Times New Roman"/>
          <w:bCs/>
          <w:sz w:val="24"/>
          <w:szCs w:val="24"/>
          <w:u w:val="single"/>
        </w:rPr>
        <w:t>Şüpheli advers reaksiyonların raporlanması</w:t>
      </w:r>
    </w:p>
    <w:p w14:paraId="02217FDC" w14:textId="77777777" w:rsidR="008F6E6A" w:rsidRPr="001D52E4" w:rsidRDefault="008F6E6A" w:rsidP="008F6E6A">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rPr>
      </w:pPr>
      <w:r w:rsidRPr="000640DF">
        <w:rPr>
          <w:rFonts w:ascii="Times New Roman" w:eastAsia="TimesNewRoman,Bold" w:hAnsi="Times New Roman" w:cs="Times New Roman"/>
          <w:bCs/>
          <w:sz w:val="24"/>
          <w:szCs w:val="24"/>
        </w:rPr>
        <w:lastRenderedPageBreak/>
        <w:t>Ruhsatlandırma sonrası şüpheli ilaç advers reaksiyonlarının raporlanması büyük önem taşımaktadır. Raporlama yapılması, ilacın yarar / risk dengesinin sürekli olarak izlenmesine olanak sağlar. Sağlık mesleği mensuplarının herhangi bir şüpheli advers reaksiyonu Türkiye Farmakovijilans Merkezi (TÜFAM)’ne bildirmeleri gerekmektedir. (www.titck.gov.tr; e- posta: tufam@titck.gov.tr; tel: 0 800 314 00 08; faks: 0 312 218 35 99)</w:t>
      </w:r>
      <w:r w:rsidRPr="001D52E4">
        <w:rPr>
          <w:rFonts w:ascii="Times New Roman" w:eastAsia="TimesNewRoman,Bold" w:hAnsi="Times New Roman" w:cs="Times New Roman"/>
          <w:bCs/>
          <w:sz w:val="24"/>
          <w:szCs w:val="24"/>
        </w:rPr>
        <w:t xml:space="preserve"> </w:t>
      </w:r>
    </w:p>
    <w:p w14:paraId="3C18B585" w14:textId="77777777" w:rsidR="00C40FAF" w:rsidRPr="001D52E4" w:rsidRDefault="00C40FAF" w:rsidP="001039B8">
      <w:pPr>
        <w:tabs>
          <w:tab w:val="left" w:pos="3135"/>
        </w:tabs>
        <w:autoSpaceDE w:val="0"/>
        <w:autoSpaceDN w:val="0"/>
        <w:adjustRightInd w:val="0"/>
        <w:spacing w:after="0" w:line="360" w:lineRule="auto"/>
        <w:jc w:val="both"/>
        <w:rPr>
          <w:rFonts w:ascii="Times New Roman" w:eastAsia="TimesNewRoman,Bold" w:hAnsi="Times New Roman" w:cs="Times New Roman"/>
          <w:bCs/>
          <w:sz w:val="24"/>
          <w:szCs w:val="24"/>
        </w:rPr>
      </w:pPr>
    </w:p>
    <w:p w14:paraId="1AF892C0" w14:textId="77777777" w:rsidR="00D35A4C" w:rsidRPr="001D52E4" w:rsidRDefault="002061CB" w:rsidP="004E512B">
      <w:pPr>
        <w:autoSpaceDE w:val="0"/>
        <w:autoSpaceDN w:val="0"/>
        <w:adjustRightInd w:val="0"/>
        <w:spacing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4.9. Doz a</w:t>
      </w:r>
      <w:r w:rsidR="00F50EB0" w:rsidRPr="001D52E4">
        <w:rPr>
          <w:rFonts w:ascii="Times New Roman" w:eastAsia="TimesNewRoman,Bold" w:hAnsi="Times New Roman" w:cs="Times New Roman"/>
          <w:b/>
          <w:bCs/>
          <w:sz w:val="24"/>
          <w:szCs w:val="24"/>
        </w:rPr>
        <w:t>ş</w:t>
      </w:r>
      <w:r w:rsidR="005502CC" w:rsidRPr="001D52E4">
        <w:rPr>
          <w:rFonts w:ascii="Times New Roman" w:eastAsia="TimesNewRoman,Bold" w:hAnsi="Times New Roman" w:cs="Times New Roman"/>
          <w:b/>
          <w:bCs/>
          <w:sz w:val="24"/>
          <w:szCs w:val="24"/>
        </w:rPr>
        <w:t>ımı ve tedavisi</w:t>
      </w:r>
    </w:p>
    <w:p w14:paraId="4D2284A6" w14:textId="77777777" w:rsidR="00C40FAF" w:rsidRPr="00C40FAF" w:rsidRDefault="00C40FAF" w:rsidP="00C40FAF">
      <w:pPr>
        <w:autoSpaceDE w:val="0"/>
        <w:autoSpaceDN w:val="0"/>
        <w:adjustRightInd w:val="0"/>
        <w:spacing w:after="0" w:line="360" w:lineRule="auto"/>
        <w:jc w:val="both"/>
        <w:rPr>
          <w:rFonts w:ascii="Times New Roman" w:eastAsia="TimesNewRoman" w:hAnsi="Times New Roman" w:cs="Times New Roman"/>
          <w:sz w:val="24"/>
          <w:szCs w:val="24"/>
        </w:rPr>
      </w:pPr>
      <w:r w:rsidRPr="00C40FAF">
        <w:rPr>
          <w:rFonts w:ascii="Times New Roman" w:eastAsia="TimesNewRoman" w:hAnsi="Times New Roman" w:cs="Times New Roman"/>
          <w:sz w:val="24"/>
          <w:szCs w:val="24"/>
        </w:rPr>
        <w:t>Yüksek dozlar alınırsa, sulu feçes (diyare), abdominal kramplar ve klinik açıdan önemli boyutlarda sıvı, potasyum ve başka elektrolit kayıpları ortaya çıkabilir.</w:t>
      </w:r>
    </w:p>
    <w:p w14:paraId="4047B749" w14:textId="77777777" w:rsidR="00C40FAF" w:rsidRPr="00C40FAF" w:rsidRDefault="00C40FAF" w:rsidP="00C40FAF">
      <w:pPr>
        <w:autoSpaceDE w:val="0"/>
        <w:autoSpaceDN w:val="0"/>
        <w:adjustRightInd w:val="0"/>
        <w:spacing w:after="0" w:line="360" w:lineRule="auto"/>
        <w:jc w:val="both"/>
        <w:rPr>
          <w:rFonts w:ascii="Times New Roman" w:eastAsia="TimesNewRoman" w:hAnsi="Times New Roman" w:cs="Times New Roman"/>
          <w:sz w:val="24"/>
          <w:szCs w:val="24"/>
        </w:rPr>
      </w:pPr>
      <w:r w:rsidRPr="00C40FAF">
        <w:rPr>
          <w:rFonts w:ascii="Times New Roman" w:eastAsia="TimesNewRoman" w:hAnsi="Times New Roman" w:cs="Times New Roman"/>
          <w:sz w:val="24"/>
          <w:szCs w:val="24"/>
        </w:rPr>
        <w:t>Akut doz aşımı vakalarında, alımdan kısa bir süre içinde uygulanırsa, etkiler kusturma veya gastrik lavaj yoluyla azaltılabilir veya önlenebilir. Sıvı replasmanı ve elektrolit dengesizliğinin düzeltilmesi düşünülebilir. Antispazmodiklerin uygulanması da bir miktar yarar sağlayabilir.</w:t>
      </w:r>
    </w:p>
    <w:p w14:paraId="1A4F4357" w14:textId="42DA2D8C" w:rsidR="00C40FAF" w:rsidRDefault="00A06922" w:rsidP="00C40FAF">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Kabızlık</w:t>
      </w:r>
      <w:r w:rsidR="00C40FAF" w:rsidRPr="00C40FAF">
        <w:rPr>
          <w:rFonts w:ascii="Times New Roman" w:eastAsia="TimesNewRoman" w:hAnsi="Times New Roman" w:cs="Times New Roman"/>
          <w:sz w:val="24"/>
          <w:szCs w:val="24"/>
        </w:rPr>
        <w:t xml:space="preserve"> tedavisi için önerilenden çok daha yüksek dozlarda sodyum pikosülfata bağlı olarak, kolonda mukoza iskemisi olguları bildirilmiştir.</w:t>
      </w:r>
    </w:p>
    <w:p w14:paraId="6B4AA071" w14:textId="1C28025D" w:rsidR="00A06922" w:rsidRDefault="00A06922" w:rsidP="00A06922">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Diğer laksatiflerde olduğu gibi Piksatif,</w:t>
      </w:r>
      <w:r w:rsidRPr="00A06922">
        <w:rPr>
          <w:rFonts w:ascii="Times New Roman" w:eastAsia="TimesNewRoman" w:hAnsi="Times New Roman" w:cs="Times New Roman"/>
          <w:sz w:val="24"/>
          <w:szCs w:val="24"/>
        </w:rPr>
        <w:t xml:space="preserve"> </w:t>
      </w:r>
      <w:r w:rsidRPr="00C40FAF">
        <w:rPr>
          <w:rFonts w:ascii="Times New Roman" w:eastAsia="TimesNewRoman" w:hAnsi="Times New Roman" w:cs="Times New Roman"/>
          <w:sz w:val="24"/>
          <w:szCs w:val="24"/>
        </w:rPr>
        <w:t>kronik olarak aşırı dozlarda alındığında, kronik diyare, abdominal ağrı, hipokalemi, sekonder hiperaldosteronizm ve böbrek taşlarına neden olabilir. Yine laksatiflerin kronik olarak yanlış biçimde kullanılmalarından dolayı, hipokalemiye bağlı olarak renal tübüler harabiyet, metabolik alkaloz ve kaslarda zayıflık da tarif edilmiştir.</w:t>
      </w:r>
    </w:p>
    <w:p w14:paraId="6E7DC30F" w14:textId="77777777" w:rsidR="00C40FAF" w:rsidRPr="00C40FAF" w:rsidRDefault="00C40FAF" w:rsidP="00C40FAF">
      <w:pPr>
        <w:autoSpaceDE w:val="0"/>
        <w:autoSpaceDN w:val="0"/>
        <w:adjustRightInd w:val="0"/>
        <w:spacing w:after="0" w:line="360" w:lineRule="auto"/>
        <w:jc w:val="both"/>
        <w:rPr>
          <w:rFonts w:ascii="Times New Roman" w:eastAsia="TimesNewRoman" w:hAnsi="Times New Roman" w:cs="Times New Roman"/>
          <w:sz w:val="24"/>
          <w:szCs w:val="24"/>
        </w:rPr>
      </w:pPr>
    </w:p>
    <w:p w14:paraId="69B10112" w14:textId="77777777" w:rsidR="002061CB" w:rsidRPr="001D52E4" w:rsidRDefault="002061CB" w:rsidP="004E512B">
      <w:pPr>
        <w:pStyle w:val="ListeParagraf"/>
        <w:numPr>
          <w:ilvl w:val="0"/>
          <w:numId w:val="14"/>
        </w:numPr>
        <w:autoSpaceDE w:val="0"/>
        <w:autoSpaceDN w:val="0"/>
        <w:adjustRightInd w:val="0"/>
        <w:ind w:left="426" w:hanging="426"/>
        <w:jc w:val="both"/>
        <w:rPr>
          <w:rFonts w:ascii="Times New Roman" w:eastAsia="TimesNewRoman" w:hAnsi="Times New Roman" w:cs="Times New Roman"/>
          <w:sz w:val="24"/>
          <w:szCs w:val="24"/>
        </w:rPr>
      </w:pPr>
      <w:r w:rsidRPr="001D52E4">
        <w:rPr>
          <w:rFonts w:ascii="Times New Roman" w:eastAsia="TimesNewRoman,Bold" w:hAnsi="Times New Roman" w:cs="Times New Roman"/>
          <w:b/>
          <w:bCs/>
          <w:sz w:val="24"/>
          <w:szCs w:val="24"/>
        </w:rPr>
        <w:t>FARMAKOLOJ</w:t>
      </w:r>
      <w:r w:rsidR="00202B3C" w:rsidRPr="001D52E4">
        <w:rPr>
          <w:rFonts w:ascii="Times New Roman" w:eastAsia="TimesNewRoman,Bold" w:hAnsi="Times New Roman" w:cs="Times New Roman"/>
          <w:b/>
          <w:bCs/>
          <w:sz w:val="24"/>
          <w:szCs w:val="24"/>
        </w:rPr>
        <w:t>İ</w:t>
      </w:r>
      <w:r w:rsidRPr="001D52E4">
        <w:rPr>
          <w:rFonts w:ascii="Times New Roman" w:eastAsia="TimesNewRoman,Bold" w:hAnsi="Times New Roman" w:cs="Times New Roman"/>
          <w:b/>
          <w:bCs/>
          <w:sz w:val="24"/>
          <w:szCs w:val="24"/>
        </w:rPr>
        <w:t xml:space="preserve">K </w:t>
      </w:r>
      <w:r w:rsidR="00202B3C" w:rsidRPr="001D52E4">
        <w:rPr>
          <w:rFonts w:ascii="Times New Roman" w:eastAsia="TimesNewRoman,Bold" w:hAnsi="Times New Roman" w:cs="Times New Roman"/>
          <w:b/>
          <w:bCs/>
          <w:sz w:val="24"/>
          <w:szCs w:val="24"/>
        </w:rPr>
        <w:t>ÖZELLİ</w:t>
      </w:r>
      <w:r w:rsidRPr="001D52E4">
        <w:rPr>
          <w:rFonts w:ascii="Times New Roman" w:eastAsia="TimesNewRoman,Bold" w:hAnsi="Times New Roman" w:cs="Times New Roman"/>
          <w:b/>
          <w:bCs/>
          <w:sz w:val="24"/>
          <w:szCs w:val="24"/>
        </w:rPr>
        <w:t>KLER</w:t>
      </w:r>
    </w:p>
    <w:p w14:paraId="4682FBA9" w14:textId="77777777" w:rsidR="002061CB" w:rsidRPr="001D52E4"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5.1. Farmakodinamik </w:t>
      </w:r>
      <w:r w:rsidR="00202B3C" w:rsidRPr="001D52E4">
        <w:rPr>
          <w:rFonts w:ascii="Times New Roman" w:eastAsia="TimesNewRoman,Bold" w:hAnsi="Times New Roman" w:cs="Times New Roman"/>
          <w:b/>
          <w:bCs/>
          <w:sz w:val="24"/>
          <w:szCs w:val="24"/>
        </w:rPr>
        <w:t>özellikler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6014"/>
      </w:tblGrid>
      <w:tr w:rsidR="004E512B" w:rsidRPr="001D52E4" w14:paraId="08BF03F9" w14:textId="77777777" w:rsidTr="004E512B">
        <w:tc>
          <w:tcPr>
            <w:tcW w:w="3085" w:type="dxa"/>
          </w:tcPr>
          <w:p w14:paraId="29FD605B" w14:textId="77777777" w:rsidR="004E512B" w:rsidRPr="001D52E4" w:rsidRDefault="004E512B" w:rsidP="004E512B">
            <w:pPr>
              <w:autoSpaceDE w:val="0"/>
              <w:autoSpaceDN w:val="0"/>
              <w:adjustRightInd w:val="0"/>
              <w:spacing w:before="24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Farmakoterapötik grup:</w:t>
            </w:r>
          </w:p>
        </w:tc>
        <w:tc>
          <w:tcPr>
            <w:tcW w:w="6127" w:type="dxa"/>
          </w:tcPr>
          <w:p w14:paraId="7866545A" w14:textId="77777777" w:rsidR="004E512B" w:rsidRPr="001D52E4" w:rsidRDefault="004E512B" w:rsidP="004E512B">
            <w:pPr>
              <w:autoSpaceDE w:val="0"/>
              <w:autoSpaceDN w:val="0"/>
              <w:adjustRightInd w:val="0"/>
              <w:spacing w:before="24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Kontakt laksatifler</w:t>
            </w:r>
          </w:p>
        </w:tc>
      </w:tr>
      <w:tr w:rsidR="004E512B" w:rsidRPr="001D52E4" w14:paraId="4766C868" w14:textId="77777777" w:rsidTr="004E512B">
        <w:tc>
          <w:tcPr>
            <w:tcW w:w="3085" w:type="dxa"/>
          </w:tcPr>
          <w:p w14:paraId="230823ED" w14:textId="77777777" w:rsidR="004E512B" w:rsidRPr="001D52E4"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ATC kodu:</w:t>
            </w:r>
          </w:p>
        </w:tc>
        <w:tc>
          <w:tcPr>
            <w:tcW w:w="6127" w:type="dxa"/>
          </w:tcPr>
          <w:p w14:paraId="0A5704FB" w14:textId="77777777" w:rsidR="004E512B" w:rsidRPr="001D52E4" w:rsidRDefault="004E512B" w:rsidP="00877F58">
            <w:pPr>
              <w:autoSpaceDE w:val="0"/>
              <w:autoSpaceDN w:val="0"/>
              <w:adjustRightInd w:val="0"/>
              <w:spacing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A06AB08</w:t>
            </w:r>
          </w:p>
        </w:tc>
      </w:tr>
    </w:tbl>
    <w:p w14:paraId="4D231299" w14:textId="77777777" w:rsidR="002061CB" w:rsidRPr="001D52E4" w:rsidRDefault="001D52E4"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 xml:space="preserve"> </w:t>
      </w:r>
    </w:p>
    <w:p w14:paraId="2D05C50A" w14:textId="6C5E1CA6" w:rsidR="00AC0941" w:rsidRPr="001D52E4" w:rsidRDefault="00335570" w:rsidP="001001F0">
      <w:pPr>
        <w:autoSpaceDE w:val="0"/>
        <w:autoSpaceDN w:val="0"/>
        <w:adjustRightInd w:val="0"/>
        <w:spacing w:after="0" w:line="360" w:lineRule="auto"/>
        <w:jc w:val="both"/>
        <w:rPr>
          <w:rFonts w:ascii="Times New Roman" w:eastAsia="TimesNewRoman" w:hAnsi="Times New Roman" w:cs="Times New Roman"/>
          <w:sz w:val="24"/>
          <w:szCs w:val="24"/>
        </w:rPr>
      </w:pPr>
      <w:r w:rsidRPr="00335570">
        <w:rPr>
          <w:rFonts w:ascii="Times New Roman" w:eastAsia="TimesNewRoman" w:hAnsi="Times New Roman" w:cs="Times New Roman"/>
          <w:sz w:val="24"/>
          <w:szCs w:val="24"/>
        </w:rPr>
        <w:t>PİKSATİF’in</w:t>
      </w:r>
      <w:r w:rsidRPr="001D52E4">
        <w:rPr>
          <w:rFonts w:ascii="Times New Roman" w:eastAsia="TimesNewRoman" w:hAnsi="Times New Roman" w:cs="Times New Roman"/>
          <w:sz w:val="24"/>
          <w:szCs w:val="24"/>
        </w:rPr>
        <w:t xml:space="preserve"> </w:t>
      </w:r>
      <w:r w:rsidR="001D52E4" w:rsidRPr="001D52E4">
        <w:rPr>
          <w:rFonts w:ascii="Times New Roman" w:eastAsia="TimesNewRoman" w:hAnsi="Times New Roman" w:cs="Times New Roman"/>
          <w:sz w:val="24"/>
          <w:szCs w:val="24"/>
        </w:rPr>
        <w:t>etkin maddesi olan sodyum pikosülfat, triarilmetan grubundan lokal etkili bir</w:t>
      </w:r>
      <w:r w:rsidR="001001F0">
        <w:rPr>
          <w:rFonts w:ascii="Times New Roman" w:eastAsia="TimesNewRoman" w:hAnsi="Times New Roman" w:cs="Times New Roman"/>
          <w:sz w:val="24"/>
          <w:szCs w:val="24"/>
        </w:rPr>
        <w:t xml:space="preserve"> </w:t>
      </w:r>
      <w:r w:rsidR="001D52E4" w:rsidRPr="001D52E4">
        <w:rPr>
          <w:rFonts w:ascii="Times New Roman" w:eastAsia="TimesNewRoman" w:hAnsi="Times New Roman" w:cs="Times New Roman"/>
          <w:sz w:val="24"/>
          <w:szCs w:val="24"/>
        </w:rPr>
        <w:t xml:space="preserve">laksatiftir. Kolonda bakteriler tarafından </w:t>
      </w:r>
      <w:r w:rsidR="00C40FAF">
        <w:rPr>
          <w:rFonts w:ascii="Times New Roman" w:eastAsia="TimesNewRoman" w:hAnsi="Times New Roman" w:cs="Times New Roman"/>
          <w:sz w:val="24"/>
          <w:szCs w:val="24"/>
        </w:rPr>
        <w:t>parçalandıktan</w:t>
      </w:r>
      <w:r w:rsidR="001D52E4" w:rsidRPr="001D52E4">
        <w:rPr>
          <w:rFonts w:ascii="Times New Roman" w:eastAsia="TimesNewRoman" w:hAnsi="Times New Roman" w:cs="Times New Roman"/>
          <w:sz w:val="24"/>
          <w:szCs w:val="24"/>
        </w:rPr>
        <w:t xml:space="preserve"> sonra kalın bağırsak mukozasını uyararak kolon peristaltizmine sebep olur ve kolon lümeninde su elektrolit toplanmasını arttırır. Bu durum defekasyonun stimülasyonu, geçiş zamanının azalması ve dışkının yumuşamasıyla sonuçlanır.</w:t>
      </w:r>
      <w:r w:rsidR="00C40FAF" w:rsidRPr="00C40FAF">
        <w:t xml:space="preserve"> </w:t>
      </w:r>
      <w:r w:rsidR="00C40FAF" w:rsidRPr="00C40FAF">
        <w:rPr>
          <w:rFonts w:ascii="Times New Roman" w:eastAsia="TimesNewRoman" w:hAnsi="Times New Roman" w:cs="Times New Roman"/>
          <w:sz w:val="24"/>
          <w:szCs w:val="24"/>
        </w:rPr>
        <w:t>Sodyum pikosülfat kolonda etki eder ve özellikle boşaltım işlemini uyarır. Bu yüzden, ince bağırsakta sindirimin değiştirilmesi veya kalorilerin ya da temel besin ögelerinin absorbe edilmesinde etkili değildir.</w:t>
      </w:r>
    </w:p>
    <w:p w14:paraId="5164EC1F" w14:textId="10EF79FF" w:rsidR="00D14ABF" w:rsidRPr="00C40FAF" w:rsidRDefault="00C40FAF" w:rsidP="001001F0">
      <w:pPr>
        <w:autoSpaceDE w:val="0"/>
        <w:autoSpaceDN w:val="0"/>
        <w:adjustRightInd w:val="0"/>
        <w:spacing w:after="0" w:line="360" w:lineRule="auto"/>
        <w:jc w:val="both"/>
        <w:rPr>
          <w:rFonts w:ascii="Times New Roman" w:eastAsia="TimesNewRoman,Bold" w:hAnsi="Times New Roman" w:cs="Times New Roman"/>
          <w:bCs/>
          <w:sz w:val="24"/>
          <w:szCs w:val="24"/>
        </w:rPr>
      </w:pPr>
      <w:r w:rsidRPr="00C40FAF">
        <w:rPr>
          <w:rFonts w:ascii="Times New Roman" w:eastAsia="TimesNewRoman,Bold" w:hAnsi="Times New Roman" w:cs="Times New Roman"/>
          <w:bCs/>
          <w:sz w:val="24"/>
          <w:szCs w:val="24"/>
        </w:rPr>
        <w:lastRenderedPageBreak/>
        <w:t xml:space="preserve">Kronik kabızlığı olan 367 hastada randomize, çift-kör, paralel grup çalışmasında </w:t>
      </w:r>
      <w:r w:rsidR="00FF3CD5" w:rsidRPr="00335570">
        <w:rPr>
          <w:rFonts w:ascii="Times New Roman" w:eastAsia="TimesNewRoman" w:hAnsi="Times New Roman" w:cs="Times New Roman"/>
          <w:sz w:val="24"/>
          <w:szCs w:val="24"/>
        </w:rPr>
        <w:t>PİKSATİF’in</w:t>
      </w:r>
      <w:r w:rsidRPr="00C40FAF">
        <w:rPr>
          <w:rFonts w:ascii="Times New Roman" w:eastAsia="TimesNewRoman,Bold" w:hAnsi="Times New Roman" w:cs="Times New Roman"/>
          <w:bCs/>
          <w:sz w:val="24"/>
          <w:szCs w:val="24"/>
        </w:rPr>
        <w:t xml:space="preserve"> günlük kullanımında, plaseboya nazaran tedavinin ilk haftasından itibaren</w:t>
      </w:r>
      <w:r>
        <w:rPr>
          <w:rFonts w:ascii="Times New Roman" w:eastAsia="TimesNewRoman,Bold" w:hAnsi="Times New Roman" w:cs="Times New Roman"/>
          <w:bCs/>
          <w:sz w:val="24"/>
          <w:szCs w:val="24"/>
        </w:rPr>
        <w:t xml:space="preserve"> </w:t>
      </w:r>
      <w:r w:rsidRPr="00C40FAF">
        <w:rPr>
          <w:rFonts w:ascii="Times New Roman" w:eastAsia="TimesNewRoman,Bold" w:hAnsi="Times New Roman" w:cs="Times New Roman"/>
          <w:bCs/>
          <w:sz w:val="24"/>
          <w:szCs w:val="24"/>
        </w:rPr>
        <w:t xml:space="preserve">haftada yapılan tuvalete çıkma sayısında anlamlı artış izlendi. </w:t>
      </w:r>
      <w:r w:rsidR="00FF3CD5" w:rsidRPr="00335570">
        <w:rPr>
          <w:rFonts w:ascii="Times New Roman" w:eastAsia="TimesNewRoman" w:hAnsi="Times New Roman" w:cs="Times New Roman"/>
          <w:sz w:val="24"/>
          <w:szCs w:val="24"/>
        </w:rPr>
        <w:t>PİKSATİF’in</w:t>
      </w:r>
      <w:r w:rsidRPr="00C40FAF">
        <w:rPr>
          <w:rFonts w:ascii="Times New Roman" w:eastAsia="TimesNewRoman,Bold" w:hAnsi="Times New Roman" w:cs="Times New Roman"/>
          <w:bCs/>
          <w:sz w:val="24"/>
          <w:szCs w:val="24"/>
        </w:rPr>
        <w:t xml:space="preserve"> plaseboya </w:t>
      </w:r>
      <w:r w:rsidR="00B059FD">
        <w:rPr>
          <w:rFonts w:ascii="Times New Roman" w:eastAsia="TimesNewRoman,Bold" w:hAnsi="Times New Roman" w:cs="Times New Roman"/>
          <w:bCs/>
          <w:sz w:val="24"/>
          <w:szCs w:val="24"/>
        </w:rPr>
        <w:t>üstünlüğü</w:t>
      </w:r>
      <w:r w:rsidRPr="00C40FAF">
        <w:rPr>
          <w:rFonts w:ascii="Times New Roman" w:eastAsia="TimesNewRoman,Bold" w:hAnsi="Times New Roman" w:cs="Times New Roman"/>
          <w:bCs/>
          <w:sz w:val="24"/>
          <w:szCs w:val="24"/>
        </w:rPr>
        <w:t xml:space="preserve"> </w:t>
      </w:r>
      <w:r w:rsidR="00B059FD">
        <w:rPr>
          <w:rFonts w:ascii="Times New Roman" w:eastAsia="TimesNewRoman,Bold" w:hAnsi="Times New Roman" w:cs="Times New Roman"/>
          <w:bCs/>
          <w:sz w:val="24"/>
          <w:szCs w:val="24"/>
        </w:rPr>
        <w:t xml:space="preserve">dört haftasının </w:t>
      </w:r>
      <w:r w:rsidRPr="00C40FAF">
        <w:rPr>
          <w:rFonts w:ascii="Times New Roman" w:eastAsia="TimesNewRoman,Bold" w:hAnsi="Times New Roman" w:cs="Times New Roman"/>
          <w:bCs/>
          <w:sz w:val="24"/>
          <w:szCs w:val="24"/>
        </w:rPr>
        <w:t>tümünde de gösterildi (p</w:t>
      </w:r>
      <w:r w:rsidRPr="00EA1CB5">
        <w:rPr>
          <w:rFonts w:ascii="Times New Roman" w:eastAsia="TimesNewRoman,Bold" w:hAnsi="Times New Roman" w:cs="Times New Roman"/>
          <w:bCs/>
          <w:color w:val="000000" w:themeColor="text1"/>
          <w:sz w:val="24"/>
          <w:szCs w:val="24"/>
        </w:rPr>
        <w:t>&lt;</w:t>
      </w:r>
      <w:r w:rsidR="001001F0" w:rsidRPr="00EA1CB5">
        <w:rPr>
          <w:rFonts w:ascii="Times New Roman" w:eastAsia="TimesNewRoman,Bold" w:hAnsi="Times New Roman" w:cs="Times New Roman"/>
          <w:bCs/>
          <w:color w:val="000000" w:themeColor="text1"/>
          <w:sz w:val="24"/>
          <w:szCs w:val="24"/>
        </w:rPr>
        <w:t>0,0001</w:t>
      </w:r>
      <w:r w:rsidRPr="00EA1CB5">
        <w:rPr>
          <w:rFonts w:ascii="Times New Roman" w:eastAsia="TimesNewRoman,Bold" w:hAnsi="Times New Roman" w:cs="Times New Roman"/>
          <w:bCs/>
          <w:color w:val="000000" w:themeColor="text1"/>
          <w:sz w:val="24"/>
          <w:szCs w:val="24"/>
        </w:rPr>
        <w:t xml:space="preserve">). </w:t>
      </w:r>
      <w:r w:rsidRPr="00C40FAF">
        <w:rPr>
          <w:rFonts w:ascii="Times New Roman" w:eastAsia="TimesNewRoman,Bold" w:hAnsi="Times New Roman" w:cs="Times New Roman"/>
          <w:bCs/>
          <w:sz w:val="24"/>
          <w:szCs w:val="24"/>
        </w:rPr>
        <w:t>Serum potasyum düzeyleri çalışma sonunda değişti (</w:t>
      </w:r>
      <w:r w:rsidR="001001F0" w:rsidRPr="00EA1CB5">
        <w:rPr>
          <w:rFonts w:ascii="Times New Roman" w:eastAsia="TimesNewRoman,Bold" w:hAnsi="Times New Roman" w:cs="Times New Roman"/>
          <w:bCs/>
          <w:color w:val="000000" w:themeColor="text1"/>
          <w:sz w:val="24"/>
          <w:szCs w:val="24"/>
        </w:rPr>
        <w:t xml:space="preserve">4,4 </w:t>
      </w:r>
      <w:r w:rsidRPr="00C40FAF">
        <w:rPr>
          <w:rFonts w:ascii="Times New Roman" w:eastAsia="TimesNewRoman,Bold" w:hAnsi="Times New Roman" w:cs="Times New Roman"/>
          <w:bCs/>
          <w:sz w:val="24"/>
          <w:szCs w:val="24"/>
        </w:rPr>
        <w:t>mM) ve fizyolojik aralık (</w:t>
      </w:r>
      <w:r w:rsidR="001001F0" w:rsidRPr="00EA1CB5">
        <w:rPr>
          <w:rFonts w:ascii="Times New Roman" w:eastAsia="TimesNewRoman,Bold" w:hAnsi="Times New Roman" w:cs="Times New Roman"/>
          <w:bCs/>
          <w:color w:val="000000" w:themeColor="text1"/>
          <w:sz w:val="24"/>
          <w:szCs w:val="24"/>
        </w:rPr>
        <w:t xml:space="preserve">3,6-5,3 </w:t>
      </w:r>
      <w:r w:rsidRPr="00C40FAF">
        <w:rPr>
          <w:rFonts w:ascii="Times New Roman" w:eastAsia="TimesNewRoman,Bold" w:hAnsi="Times New Roman" w:cs="Times New Roman"/>
          <w:bCs/>
          <w:sz w:val="24"/>
          <w:szCs w:val="24"/>
        </w:rPr>
        <w:t>mM) içindeydi.</w:t>
      </w:r>
    </w:p>
    <w:p w14:paraId="404254B5" w14:textId="77777777" w:rsidR="0005295E" w:rsidRPr="001D52E4" w:rsidRDefault="0005295E"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0680147A" w14:textId="77777777" w:rsidR="00DA39BF"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5.2. Farmakokinetik</w:t>
      </w:r>
      <w:r w:rsidR="00553336" w:rsidRPr="001D52E4">
        <w:rPr>
          <w:rFonts w:ascii="Times New Roman" w:eastAsia="TimesNewRoman,Bold" w:hAnsi="Times New Roman" w:cs="Times New Roman"/>
          <w:b/>
          <w:bCs/>
          <w:sz w:val="24"/>
          <w:szCs w:val="24"/>
        </w:rPr>
        <w:t xml:space="preserve"> </w:t>
      </w:r>
      <w:r w:rsidR="00250E05" w:rsidRPr="001D52E4">
        <w:rPr>
          <w:rFonts w:ascii="Times New Roman" w:eastAsia="TimesNewRoman,Bold" w:hAnsi="Times New Roman" w:cs="Times New Roman"/>
          <w:b/>
          <w:bCs/>
          <w:sz w:val="24"/>
          <w:szCs w:val="24"/>
        </w:rPr>
        <w:t>özellikler</w:t>
      </w:r>
    </w:p>
    <w:p w14:paraId="7A9E3C6C" w14:textId="77777777" w:rsidR="00C75B17" w:rsidRPr="001D52E4" w:rsidRDefault="00C75B17" w:rsidP="00C75B17">
      <w:pPr>
        <w:autoSpaceDE w:val="0"/>
        <w:autoSpaceDN w:val="0"/>
        <w:adjustRightInd w:val="0"/>
        <w:spacing w:after="0" w:line="36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Genel özellikler:</w:t>
      </w:r>
    </w:p>
    <w:p w14:paraId="2380EC9A" w14:textId="77777777" w:rsidR="002061CB" w:rsidRPr="001D52E4" w:rsidRDefault="002061CB" w:rsidP="00C75B17">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u w:val="single"/>
        </w:rPr>
        <w:t>Emilim</w:t>
      </w:r>
      <w:r w:rsidRPr="001D52E4">
        <w:rPr>
          <w:rFonts w:ascii="Times New Roman" w:eastAsia="TimesNewRoman" w:hAnsi="Times New Roman" w:cs="Times New Roman"/>
          <w:sz w:val="24"/>
          <w:szCs w:val="24"/>
        </w:rPr>
        <w:t>:</w:t>
      </w:r>
    </w:p>
    <w:p w14:paraId="2401A30B" w14:textId="77777777" w:rsidR="00553336" w:rsidRDefault="001D52E4" w:rsidP="00123EAB">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Oral alımdan sonra sodyum pikosülfat, herhangi bir belirgin absorpsiyon olmaksızın kolona</w:t>
      </w:r>
      <w:r w:rsidR="00123EAB">
        <w:rPr>
          <w:rFonts w:ascii="Times New Roman" w:eastAsia="TimesNewRoman" w:hAnsi="Times New Roman" w:cs="Times New Roman"/>
          <w:sz w:val="24"/>
          <w:szCs w:val="24"/>
        </w:rPr>
        <w:t xml:space="preserve"> </w:t>
      </w:r>
      <w:r w:rsidRPr="001D52E4">
        <w:rPr>
          <w:rFonts w:ascii="Times New Roman" w:eastAsia="TimesNewRoman" w:hAnsi="Times New Roman" w:cs="Times New Roman"/>
          <w:sz w:val="24"/>
          <w:szCs w:val="24"/>
        </w:rPr>
        <w:t>ulaşır. Böylelikle, enterohepatik sirkülasyon</w:t>
      </w:r>
      <w:r w:rsidR="00C75B17">
        <w:rPr>
          <w:rFonts w:ascii="Times New Roman" w:eastAsia="TimesNewRoman" w:hAnsi="Times New Roman" w:cs="Times New Roman"/>
          <w:sz w:val="24"/>
          <w:szCs w:val="24"/>
        </w:rPr>
        <w:t xml:space="preserve"> önlenir.</w:t>
      </w:r>
    </w:p>
    <w:p w14:paraId="6DD8A154" w14:textId="77777777" w:rsidR="00123EAB" w:rsidRPr="001D52E4" w:rsidRDefault="00123EAB" w:rsidP="00123EAB">
      <w:pPr>
        <w:autoSpaceDE w:val="0"/>
        <w:autoSpaceDN w:val="0"/>
        <w:adjustRightInd w:val="0"/>
        <w:spacing w:after="0" w:line="360" w:lineRule="auto"/>
        <w:jc w:val="both"/>
        <w:rPr>
          <w:rFonts w:ascii="Times New Roman" w:eastAsia="TimesNewRoman" w:hAnsi="Times New Roman" w:cs="Times New Roman"/>
          <w:sz w:val="24"/>
          <w:szCs w:val="24"/>
        </w:rPr>
      </w:pPr>
    </w:p>
    <w:p w14:paraId="2AB20688" w14:textId="77777777" w:rsidR="002061CB" w:rsidRPr="001D52E4" w:rsidRDefault="002061CB" w:rsidP="000251B8">
      <w:pPr>
        <w:autoSpaceDE w:val="0"/>
        <w:autoSpaceDN w:val="0"/>
        <w:adjustRightInd w:val="0"/>
        <w:spacing w:after="0" w:line="360" w:lineRule="auto"/>
        <w:jc w:val="both"/>
        <w:rPr>
          <w:rFonts w:ascii="Times New Roman" w:eastAsia="TimesNewRoman" w:hAnsi="Times New Roman" w:cs="Times New Roman"/>
          <w:sz w:val="24"/>
          <w:szCs w:val="24"/>
          <w:u w:val="single"/>
        </w:rPr>
      </w:pPr>
      <w:r w:rsidRPr="001D52E4">
        <w:rPr>
          <w:rFonts w:ascii="Times New Roman" w:eastAsia="TimesNewRoman" w:hAnsi="Times New Roman" w:cs="Times New Roman"/>
          <w:sz w:val="24"/>
          <w:szCs w:val="24"/>
          <w:u w:val="single"/>
        </w:rPr>
        <w:t>Dağılım:</w:t>
      </w:r>
    </w:p>
    <w:p w14:paraId="0AB1625B" w14:textId="77777777" w:rsidR="001D52E4" w:rsidRPr="001D52E4" w:rsidRDefault="001D52E4" w:rsidP="001D52E4">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 xml:space="preserve">Oral uygulamadan sonra sistemik dolaşımda </w:t>
      </w:r>
      <w:r w:rsidR="00001C51">
        <w:rPr>
          <w:rFonts w:ascii="Times New Roman" w:eastAsia="TimesNewRoman" w:hAnsi="Times New Roman" w:cs="Times New Roman"/>
          <w:sz w:val="24"/>
          <w:szCs w:val="24"/>
        </w:rPr>
        <w:t>ihmal edilebilir düzeyde</w:t>
      </w:r>
      <w:r w:rsidRPr="001D52E4">
        <w:rPr>
          <w:rFonts w:ascii="Times New Roman" w:eastAsia="TimesNewRoman" w:hAnsi="Times New Roman" w:cs="Times New Roman"/>
          <w:sz w:val="24"/>
          <w:szCs w:val="24"/>
        </w:rPr>
        <w:t xml:space="preserve"> ilaç bulunur.</w:t>
      </w:r>
    </w:p>
    <w:p w14:paraId="5216F375" w14:textId="77777777" w:rsidR="00001C51" w:rsidRDefault="00001C51" w:rsidP="000251B8">
      <w:pPr>
        <w:autoSpaceDE w:val="0"/>
        <w:autoSpaceDN w:val="0"/>
        <w:adjustRightInd w:val="0"/>
        <w:spacing w:after="0" w:line="360" w:lineRule="auto"/>
        <w:jc w:val="both"/>
        <w:rPr>
          <w:rFonts w:ascii="Times New Roman" w:eastAsia="TimesNewRoman" w:hAnsi="Times New Roman" w:cs="Times New Roman"/>
          <w:sz w:val="24"/>
          <w:szCs w:val="24"/>
        </w:rPr>
      </w:pPr>
    </w:p>
    <w:p w14:paraId="5586A466" w14:textId="77777777" w:rsidR="000159B9" w:rsidRPr="001D52E4" w:rsidRDefault="000159B9" w:rsidP="00001C51">
      <w:pPr>
        <w:autoSpaceDE w:val="0"/>
        <w:autoSpaceDN w:val="0"/>
        <w:adjustRightInd w:val="0"/>
        <w:spacing w:after="0" w:line="360" w:lineRule="auto"/>
        <w:jc w:val="both"/>
        <w:rPr>
          <w:rFonts w:ascii="Times New Roman" w:eastAsia="TimesNewRoman" w:hAnsi="Times New Roman" w:cs="Times New Roman"/>
          <w:sz w:val="24"/>
          <w:szCs w:val="24"/>
          <w:u w:val="single"/>
        </w:rPr>
      </w:pPr>
      <w:r w:rsidRPr="001D52E4">
        <w:rPr>
          <w:rFonts w:ascii="Times New Roman" w:eastAsia="TimesNewRoman" w:hAnsi="Times New Roman" w:cs="Times New Roman"/>
          <w:sz w:val="24"/>
          <w:szCs w:val="24"/>
          <w:u w:val="single"/>
        </w:rPr>
        <w:t>Biyotransformasyon:</w:t>
      </w:r>
    </w:p>
    <w:p w14:paraId="295DAF2E" w14:textId="4B6945DD" w:rsidR="00001C51" w:rsidRDefault="00001C51" w:rsidP="00001C51">
      <w:pPr>
        <w:autoSpaceDE w:val="0"/>
        <w:autoSpaceDN w:val="0"/>
        <w:adjustRightInd w:val="0"/>
        <w:spacing w:after="0" w:line="360" w:lineRule="auto"/>
        <w:jc w:val="both"/>
        <w:rPr>
          <w:rFonts w:ascii="Times New Roman" w:eastAsia="TimesNewRoman" w:hAnsi="Times New Roman" w:cs="Times New Roman"/>
          <w:sz w:val="24"/>
          <w:szCs w:val="24"/>
        </w:rPr>
      </w:pPr>
      <w:r w:rsidRPr="00001C51">
        <w:rPr>
          <w:rFonts w:ascii="Times New Roman" w:eastAsia="TimesNewRoman" w:hAnsi="Times New Roman" w:cs="Times New Roman"/>
          <w:sz w:val="24"/>
          <w:szCs w:val="24"/>
        </w:rPr>
        <w:t>Sodyum pikosülfat bağırsakta distal segmentte bakteriyal parçalanma ile aktif laksatif bileşik olan bis</w:t>
      </w:r>
      <w:r w:rsidRPr="00F911EA">
        <w:rPr>
          <w:rFonts w:ascii="Times New Roman" w:eastAsia="TimesNewRoman" w:hAnsi="Times New Roman" w:cs="Times New Roman"/>
          <w:color w:val="000000" w:themeColor="text1"/>
          <w:sz w:val="24"/>
          <w:szCs w:val="24"/>
        </w:rPr>
        <w:t>-</w:t>
      </w:r>
      <w:r w:rsidR="00073580" w:rsidRPr="00F911EA">
        <w:rPr>
          <w:rFonts w:ascii="Times New Roman" w:eastAsia="TimesNewRoman" w:hAnsi="Times New Roman" w:cs="Times New Roman"/>
          <w:color w:val="000000" w:themeColor="text1"/>
          <w:sz w:val="24"/>
          <w:szCs w:val="24"/>
        </w:rPr>
        <w:t>(parahidroksifenil)</w:t>
      </w:r>
      <w:r w:rsidRPr="00F911EA">
        <w:rPr>
          <w:rFonts w:ascii="Times New Roman" w:eastAsia="TimesNewRoman" w:hAnsi="Times New Roman" w:cs="Times New Roman"/>
          <w:color w:val="000000" w:themeColor="text1"/>
          <w:sz w:val="24"/>
          <w:szCs w:val="24"/>
        </w:rPr>
        <w:t>-</w:t>
      </w:r>
      <w:r w:rsidRPr="00001C51">
        <w:rPr>
          <w:rFonts w:ascii="Times New Roman" w:eastAsia="TimesNewRoman" w:hAnsi="Times New Roman" w:cs="Times New Roman"/>
          <w:sz w:val="24"/>
          <w:szCs w:val="24"/>
        </w:rPr>
        <w:t xml:space="preserve">piridil-2-metana (BHPM) dönüşür. </w:t>
      </w:r>
    </w:p>
    <w:p w14:paraId="0A162E30" w14:textId="77777777" w:rsidR="00001C51" w:rsidRDefault="00001C51" w:rsidP="00001C51">
      <w:pPr>
        <w:autoSpaceDE w:val="0"/>
        <w:autoSpaceDN w:val="0"/>
        <w:adjustRightInd w:val="0"/>
        <w:spacing w:after="0" w:line="360" w:lineRule="auto"/>
        <w:jc w:val="both"/>
        <w:rPr>
          <w:rFonts w:ascii="Times New Roman" w:eastAsia="TimesNewRoman" w:hAnsi="Times New Roman" w:cs="Times New Roman"/>
          <w:sz w:val="24"/>
          <w:szCs w:val="24"/>
        </w:rPr>
      </w:pPr>
    </w:p>
    <w:p w14:paraId="0FF69CF1" w14:textId="77777777" w:rsidR="002061CB" w:rsidRPr="001D52E4" w:rsidRDefault="002061CB" w:rsidP="00001C51">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u w:val="single"/>
        </w:rPr>
        <w:t>Eliminasyon</w:t>
      </w:r>
      <w:r w:rsidRPr="001D52E4">
        <w:rPr>
          <w:rFonts w:ascii="Times New Roman" w:eastAsia="TimesNewRoman" w:hAnsi="Times New Roman" w:cs="Times New Roman"/>
          <w:sz w:val="24"/>
          <w:szCs w:val="24"/>
        </w:rPr>
        <w:t>:</w:t>
      </w:r>
    </w:p>
    <w:p w14:paraId="02EF7131" w14:textId="77777777" w:rsidR="00001C51" w:rsidRDefault="00001C51" w:rsidP="00001C51">
      <w:pPr>
        <w:autoSpaceDE w:val="0"/>
        <w:autoSpaceDN w:val="0"/>
        <w:adjustRightInd w:val="0"/>
        <w:spacing w:after="0" w:line="360" w:lineRule="auto"/>
        <w:jc w:val="both"/>
        <w:rPr>
          <w:rFonts w:ascii="Times New Roman" w:eastAsia="TimesNewRoman" w:hAnsi="Times New Roman" w:cs="Times New Roman"/>
          <w:sz w:val="24"/>
          <w:szCs w:val="24"/>
        </w:rPr>
      </w:pPr>
      <w:r w:rsidRPr="00001C51">
        <w:rPr>
          <w:rFonts w:ascii="Times New Roman" w:eastAsia="TimesNewRoman" w:hAnsi="Times New Roman" w:cs="Times New Roman"/>
          <w:sz w:val="24"/>
          <w:szCs w:val="24"/>
        </w:rPr>
        <w:t xml:space="preserve">Dönüşümü takiben BHPM’nin sadece küçük bir miktarı absorplanır. Sodyum pikosülfatın 10 mg’ının oral uygulamasından sonra toplam dozun %10.4’ü 48 saat sonra idrarda BHPM glukuronid olarak itrah edilir. İlaveten BHPM safraya glukuronid olarak atılır. </w:t>
      </w:r>
    </w:p>
    <w:p w14:paraId="36D61BA6" w14:textId="77777777" w:rsidR="002061CB" w:rsidRPr="001D52E4" w:rsidRDefault="002061CB" w:rsidP="001D52E4">
      <w:pPr>
        <w:autoSpaceDE w:val="0"/>
        <w:autoSpaceDN w:val="0"/>
        <w:adjustRightInd w:val="0"/>
        <w:spacing w:before="240"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u w:val="single"/>
        </w:rPr>
        <w:t>Doğrusallık</w:t>
      </w:r>
      <w:r w:rsidR="00647983" w:rsidRPr="001D52E4">
        <w:rPr>
          <w:rFonts w:ascii="Times New Roman" w:eastAsia="TimesNewRoman" w:hAnsi="Times New Roman" w:cs="Times New Roman"/>
          <w:sz w:val="24"/>
          <w:szCs w:val="24"/>
          <w:u w:val="single"/>
        </w:rPr>
        <w:t>/Doğrusal olmayan durum</w:t>
      </w:r>
      <w:r w:rsidRPr="001D52E4">
        <w:rPr>
          <w:rFonts w:ascii="Times New Roman" w:eastAsia="TimesNewRoman" w:hAnsi="Times New Roman" w:cs="Times New Roman"/>
          <w:sz w:val="24"/>
          <w:szCs w:val="24"/>
        </w:rPr>
        <w:t>:</w:t>
      </w:r>
    </w:p>
    <w:p w14:paraId="4EEF87A6" w14:textId="77777777" w:rsidR="002061CB" w:rsidRDefault="001D52E4"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Geçerli değil.</w:t>
      </w:r>
    </w:p>
    <w:p w14:paraId="5633BBB4" w14:textId="77777777" w:rsidR="00001C51" w:rsidRDefault="00001C51" w:rsidP="000251B8">
      <w:pPr>
        <w:autoSpaceDE w:val="0"/>
        <w:autoSpaceDN w:val="0"/>
        <w:adjustRightInd w:val="0"/>
        <w:spacing w:after="0" w:line="360" w:lineRule="auto"/>
        <w:jc w:val="both"/>
        <w:rPr>
          <w:rFonts w:ascii="Times New Roman" w:eastAsia="TimesNewRoman" w:hAnsi="Times New Roman" w:cs="Times New Roman"/>
          <w:sz w:val="24"/>
          <w:szCs w:val="24"/>
        </w:rPr>
      </w:pPr>
    </w:p>
    <w:p w14:paraId="19B4BE69" w14:textId="77777777" w:rsidR="00001C51" w:rsidRPr="00001C51" w:rsidRDefault="00001C51" w:rsidP="00001C51">
      <w:pPr>
        <w:autoSpaceDE w:val="0"/>
        <w:autoSpaceDN w:val="0"/>
        <w:adjustRightInd w:val="0"/>
        <w:spacing w:after="0" w:line="360" w:lineRule="auto"/>
        <w:jc w:val="both"/>
        <w:rPr>
          <w:rFonts w:ascii="Times New Roman" w:eastAsia="TimesNewRoman" w:hAnsi="Times New Roman" w:cs="Times New Roman"/>
          <w:sz w:val="24"/>
          <w:szCs w:val="24"/>
          <w:u w:val="single"/>
        </w:rPr>
      </w:pPr>
      <w:r w:rsidRPr="00001C51">
        <w:rPr>
          <w:rFonts w:ascii="Times New Roman" w:eastAsia="TimesNewRoman" w:hAnsi="Times New Roman" w:cs="Times New Roman"/>
          <w:sz w:val="24"/>
          <w:szCs w:val="24"/>
          <w:u w:val="single"/>
        </w:rPr>
        <w:t>Farmakokinetik/Farmakodinamik ilişki:</w:t>
      </w:r>
    </w:p>
    <w:p w14:paraId="45F989B3" w14:textId="77777777" w:rsidR="00001C51" w:rsidRDefault="00001C51" w:rsidP="00001C51">
      <w:pPr>
        <w:autoSpaceDE w:val="0"/>
        <w:autoSpaceDN w:val="0"/>
        <w:adjustRightInd w:val="0"/>
        <w:spacing w:after="0" w:line="360" w:lineRule="auto"/>
        <w:jc w:val="both"/>
        <w:rPr>
          <w:rFonts w:ascii="Times New Roman" w:eastAsia="TimesNewRoman" w:hAnsi="Times New Roman" w:cs="Times New Roman"/>
          <w:sz w:val="24"/>
          <w:szCs w:val="24"/>
        </w:rPr>
      </w:pPr>
      <w:r w:rsidRPr="00001C51">
        <w:rPr>
          <w:rFonts w:ascii="Times New Roman" w:eastAsia="TimesNewRoman" w:hAnsi="Times New Roman" w:cs="Times New Roman"/>
          <w:sz w:val="24"/>
          <w:szCs w:val="24"/>
        </w:rPr>
        <w:t>Aktif metabolitin (BHPM) serbestleşmesine bağlı olarak etki başlangıcı genellikle 6-12 saatte başlar. Aktif bileşiğin laksatif etkisi ile plazma düzeyleri arasında ilişki yoktur.</w:t>
      </w:r>
    </w:p>
    <w:p w14:paraId="112483C7" w14:textId="77777777" w:rsidR="00001C51" w:rsidRPr="00123EAB" w:rsidRDefault="00001C51" w:rsidP="00001C51">
      <w:pPr>
        <w:autoSpaceDE w:val="0"/>
        <w:autoSpaceDN w:val="0"/>
        <w:adjustRightInd w:val="0"/>
        <w:spacing w:after="0" w:line="360" w:lineRule="auto"/>
        <w:jc w:val="both"/>
        <w:rPr>
          <w:rFonts w:ascii="Times New Roman" w:eastAsia="TimesNewRoman" w:hAnsi="Times New Roman" w:cs="Times New Roman"/>
          <w:sz w:val="24"/>
          <w:szCs w:val="24"/>
        </w:rPr>
      </w:pPr>
    </w:p>
    <w:p w14:paraId="3BE16E6A" w14:textId="77777777" w:rsidR="009768F6" w:rsidRDefault="009768F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3B93DE6B" w14:textId="77777777" w:rsidR="009768F6" w:rsidRDefault="009768F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53EC2BDF" w14:textId="77777777" w:rsidR="009768F6" w:rsidRDefault="009768F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40E02469" w14:textId="32C89440" w:rsidR="001D52E4"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lastRenderedPageBreak/>
        <w:t xml:space="preserve">Hastalardaki karakteristik </w:t>
      </w:r>
      <w:r w:rsidR="00250E05" w:rsidRPr="001D52E4">
        <w:rPr>
          <w:rFonts w:ascii="Times New Roman" w:eastAsia="TimesNewRoman,Bold" w:hAnsi="Times New Roman" w:cs="Times New Roman"/>
          <w:b/>
          <w:bCs/>
          <w:sz w:val="24"/>
          <w:szCs w:val="24"/>
        </w:rPr>
        <w:t>özellikler</w:t>
      </w:r>
      <w:r w:rsidR="0093168A" w:rsidRPr="001D52E4">
        <w:rPr>
          <w:rFonts w:ascii="Times New Roman" w:eastAsia="TimesNewRoman,Bold" w:hAnsi="Times New Roman" w:cs="Times New Roman"/>
          <w:b/>
          <w:bCs/>
          <w:sz w:val="24"/>
          <w:szCs w:val="24"/>
        </w:rPr>
        <w:t xml:space="preserve">: </w:t>
      </w:r>
    </w:p>
    <w:p w14:paraId="47C4CEE2" w14:textId="08BCA251" w:rsidR="00E34D37" w:rsidRDefault="00E34D37" w:rsidP="000251B8">
      <w:pPr>
        <w:autoSpaceDE w:val="0"/>
        <w:autoSpaceDN w:val="0"/>
        <w:adjustRightInd w:val="0"/>
        <w:spacing w:after="0" w:line="360" w:lineRule="auto"/>
        <w:jc w:val="both"/>
        <w:rPr>
          <w:rFonts w:ascii="Times New Roman" w:eastAsia="TimesNewRoman,Bold" w:hAnsi="Times New Roman" w:cs="Times New Roman"/>
          <w:sz w:val="24"/>
          <w:szCs w:val="24"/>
          <w:u w:val="single"/>
        </w:rPr>
      </w:pPr>
      <w:r w:rsidRPr="00E34D37">
        <w:rPr>
          <w:rFonts w:ascii="Times New Roman" w:eastAsia="TimesNewRoman,Bold" w:hAnsi="Times New Roman" w:cs="Times New Roman"/>
          <w:sz w:val="24"/>
          <w:szCs w:val="24"/>
          <w:u w:val="single"/>
        </w:rPr>
        <w:t>Pediyatrik popülasyon:</w:t>
      </w:r>
    </w:p>
    <w:p w14:paraId="23B0BCEF" w14:textId="76680468" w:rsidR="00E34D37" w:rsidRDefault="00E34D37" w:rsidP="000251B8">
      <w:pPr>
        <w:autoSpaceDE w:val="0"/>
        <w:autoSpaceDN w:val="0"/>
        <w:adjustRightInd w:val="0"/>
        <w:spacing w:after="0" w:line="360" w:lineRule="auto"/>
        <w:jc w:val="both"/>
        <w:rPr>
          <w:rFonts w:ascii="Times New Roman" w:eastAsia="TimesNewRoman,Bold" w:hAnsi="Times New Roman" w:cs="Times New Roman"/>
          <w:sz w:val="24"/>
          <w:szCs w:val="24"/>
        </w:rPr>
      </w:pPr>
      <w:r w:rsidRPr="00E34D37">
        <w:rPr>
          <w:rFonts w:ascii="Times New Roman" w:eastAsia="TimesNewRoman,Bold" w:hAnsi="Times New Roman" w:cs="Times New Roman"/>
          <w:sz w:val="24"/>
          <w:szCs w:val="24"/>
        </w:rPr>
        <w:t>Piksatif pediyatrik popülasyonda kullanılmaktadır. Ancak, Piksatif 4 yaşın altındaki çocuklarda kullanılmaz.</w:t>
      </w:r>
    </w:p>
    <w:p w14:paraId="3F3AAF11" w14:textId="77777777" w:rsidR="00E34D37" w:rsidRDefault="00E34D37" w:rsidP="000251B8">
      <w:pPr>
        <w:autoSpaceDE w:val="0"/>
        <w:autoSpaceDN w:val="0"/>
        <w:adjustRightInd w:val="0"/>
        <w:spacing w:after="0" w:line="360" w:lineRule="auto"/>
        <w:jc w:val="both"/>
        <w:rPr>
          <w:rFonts w:ascii="Times New Roman" w:eastAsia="TimesNewRoman,Bold" w:hAnsi="Times New Roman" w:cs="Times New Roman"/>
          <w:sz w:val="24"/>
          <w:szCs w:val="24"/>
        </w:rPr>
      </w:pPr>
    </w:p>
    <w:p w14:paraId="392E9553" w14:textId="5FEC47E0" w:rsidR="00E34D37" w:rsidRDefault="00E34D37" w:rsidP="00E34D37">
      <w:pPr>
        <w:autoSpaceDE w:val="0"/>
        <w:autoSpaceDN w:val="0"/>
        <w:adjustRightInd w:val="0"/>
        <w:spacing w:after="0" w:line="360" w:lineRule="auto"/>
        <w:jc w:val="both"/>
        <w:rPr>
          <w:rFonts w:ascii="Times New Roman" w:eastAsia="TimesNewRoman,Bold" w:hAnsi="Times New Roman" w:cs="Times New Roman"/>
          <w:sz w:val="24"/>
          <w:szCs w:val="24"/>
          <w:u w:val="single"/>
        </w:rPr>
      </w:pPr>
      <w:r>
        <w:rPr>
          <w:rFonts w:ascii="Times New Roman" w:eastAsia="TimesNewRoman,Bold" w:hAnsi="Times New Roman" w:cs="Times New Roman"/>
          <w:sz w:val="24"/>
          <w:szCs w:val="24"/>
          <w:u w:val="single"/>
        </w:rPr>
        <w:t>Geriyatrik</w:t>
      </w:r>
      <w:r w:rsidRPr="00E34D37">
        <w:rPr>
          <w:rFonts w:ascii="Times New Roman" w:eastAsia="TimesNewRoman,Bold" w:hAnsi="Times New Roman" w:cs="Times New Roman"/>
          <w:sz w:val="24"/>
          <w:szCs w:val="24"/>
          <w:u w:val="single"/>
        </w:rPr>
        <w:t xml:space="preserve"> popülasyon:</w:t>
      </w:r>
    </w:p>
    <w:p w14:paraId="18B16E6E" w14:textId="59E9A7BA" w:rsidR="00E34D37" w:rsidRPr="00E34D37" w:rsidRDefault="00E34D37" w:rsidP="00E34D37">
      <w:pPr>
        <w:autoSpaceDE w:val="0"/>
        <w:autoSpaceDN w:val="0"/>
        <w:adjustRightInd w:val="0"/>
        <w:spacing w:after="0" w:line="360" w:lineRule="auto"/>
        <w:jc w:val="both"/>
        <w:rPr>
          <w:rFonts w:ascii="Times New Roman" w:eastAsia="TimesNewRoman,Bold" w:hAnsi="Times New Roman" w:cs="Times New Roman"/>
          <w:sz w:val="24"/>
          <w:szCs w:val="24"/>
        </w:rPr>
      </w:pPr>
      <w:r w:rsidRPr="00E34D37">
        <w:rPr>
          <w:rFonts w:ascii="Times New Roman" w:eastAsia="TimesNewRoman,Bold" w:hAnsi="Times New Roman" w:cs="Times New Roman"/>
          <w:sz w:val="24"/>
          <w:szCs w:val="24"/>
        </w:rPr>
        <w:t>Ek veri bulunmamaktadır.</w:t>
      </w:r>
    </w:p>
    <w:p w14:paraId="36F757FD" w14:textId="77777777" w:rsidR="00E34D37" w:rsidRDefault="00E34D37" w:rsidP="000251B8">
      <w:pPr>
        <w:pStyle w:val="Default"/>
        <w:spacing w:line="360" w:lineRule="auto"/>
        <w:jc w:val="both"/>
        <w:rPr>
          <w:bCs/>
          <w:u w:val="single"/>
        </w:rPr>
      </w:pPr>
    </w:p>
    <w:p w14:paraId="2525CC30" w14:textId="73D46A1A" w:rsidR="007F07C7" w:rsidRPr="001D52E4" w:rsidRDefault="00AB616C" w:rsidP="000251B8">
      <w:pPr>
        <w:pStyle w:val="Default"/>
        <w:spacing w:line="360" w:lineRule="auto"/>
        <w:jc w:val="both"/>
        <w:rPr>
          <w:bCs/>
          <w:u w:val="single"/>
        </w:rPr>
      </w:pPr>
      <w:r w:rsidRPr="001D52E4">
        <w:rPr>
          <w:bCs/>
          <w:u w:val="single"/>
        </w:rPr>
        <w:t>Böbrek</w:t>
      </w:r>
      <w:r w:rsidR="001D52E4" w:rsidRPr="001D52E4">
        <w:rPr>
          <w:bCs/>
          <w:u w:val="single"/>
        </w:rPr>
        <w:t xml:space="preserve"> / Karaciğer</w:t>
      </w:r>
      <w:r w:rsidRPr="001D52E4">
        <w:rPr>
          <w:bCs/>
          <w:u w:val="single"/>
        </w:rPr>
        <w:t xml:space="preserve"> </w:t>
      </w:r>
      <w:r w:rsidR="0093168A" w:rsidRPr="001D52E4">
        <w:rPr>
          <w:bCs/>
          <w:u w:val="single"/>
        </w:rPr>
        <w:t>yetmezliği:</w:t>
      </w:r>
    </w:p>
    <w:p w14:paraId="36170E2E" w14:textId="77777777" w:rsidR="007F07C7" w:rsidRDefault="00877F58" w:rsidP="000251B8">
      <w:pPr>
        <w:pStyle w:val="Default"/>
        <w:spacing w:line="360" w:lineRule="auto"/>
        <w:jc w:val="both"/>
      </w:pPr>
      <w:r>
        <w:t>Böbrek/karaciğer yetmezliği olan hastalara iliş</w:t>
      </w:r>
      <w:r w:rsidRPr="00877F58">
        <w:t>kin veri bulunmamaktadır.</w:t>
      </w:r>
    </w:p>
    <w:p w14:paraId="2D87C2CB" w14:textId="77777777" w:rsidR="0093168A" w:rsidRPr="001D52E4" w:rsidRDefault="0093168A"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4C48B58B" w14:textId="77777777" w:rsidR="00123EAB" w:rsidRPr="003D7AE1" w:rsidRDefault="002061CB" w:rsidP="00123EAB">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5.3. Klinik </w:t>
      </w:r>
      <w:r w:rsidR="00250E05" w:rsidRPr="001D52E4">
        <w:rPr>
          <w:rFonts w:ascii="Times New Roman" w:eastAsia="TimesNewRoman,Bold" w:hAnsi="Times New Roman" w:cs="Times New Roman"/>
          <w:b/>
          <w:bCs/>
          <w:sz w:val="24"/>
          <w:szCs w:val="24"/>
        </w:rPr>
        <w:t>öncesi</w:t>
      </w:r>
      <w:r w:rsidR="007A691B" w:rsidRPr="001D52E4">
        <w:rPr>
          <w:rFonts w:ascii="Times New Roman" w:eastAsia="TimesNewRoman,Bold" w:hAnsi="Times New Roman" w:cs="Times New Roman"/>
          <w:b/>
          <w:bCs/>
          <w:sz w:val="24"/>
          <w:szCs w:val="24"/>
        </w:rPr>
        <w:t xml:space="preserve"> </w:t>
      </w:r>
      <w:r w:rsidR="00250E05" w:rsidRPr="001D52E4">
        <w:rPr>
          <w:rFonts w:ascii="Times New Roman" w:eastAsia="TimesNewRoman,Bold" w:hAnsi="Times New Roman" w:cs="Times New Roman"/>
          <w:b/>
          <w:bCs/>
          <w:sz w:val="24"/>
          <w:szCs w:val="24"/>
        </w:rPr>
        <w:t>güvenlilik</w:t>
      </w:r>
      <w:r w:rsidRPr="001D52E4">
        <w:rPr>
          <w:rFonts w:ascii="Times New Roman" w:eastAsia="TimesNewRoman,Bold" w:hAnsi="Times New Roman" w:cs="Times New Roman"/>
          <w:b/>
          <w:bCs/>
          <w:sz w:val="24"/>
          <w:szCs w:val="24"/>
        </w:rPr>
        <w:t xml:space="preserve"> verileri</w:t>
      </w:r>
    </w:p>
    <w:p w14:paraId="1C69807F" w14:textId="195404D5" w:rsidR="00A374B1" w:rsidRDefault="003D7AE1" w:rsidP="000251B8">
      <w:pPr>
        <w:autoSpaceDE w:val="0"/>
        <w:autoSpaceDN w:val="0"/>
        <w:adjustRightInd w:val="0"/>
        <w:spacing w:after="0" w:line="360" w:lineRule="auto"/>
        <w:jc w:val="both"/>
        <w:rPr>
          <w:rFonts w:ascii="Times New Roman" w:eastAsia="TimesNewRoman,Bold" w:hAnsi="Times New Roman" w:cs="Times New Roman"/>
          <w:bCs/>
          <w:sz w:val="24"/>
          <w:szCs w:val="24"/>
        </w:rPr>
      </w:pPr>
      <w:r w:rsidRPr="003D7AE1">
        <w:rPr>
          <w:rFonts w:ascii="Times New Roman" w:eastAsia="TimesNewRoman,Bold" w:hAnsi="Times New Roman" w:cs="Times New Roman"/>
          <w:bCs/>
          <w:sz w:val="24"/>
          <w:szCs w:val="24"/>
        </w:rPr>
        <w:t xml:space="preserve">Sodyum pikosülfat in vitro ve in vivo çalışmalarda herhangi bir genotoksik potansiyel göstermemiştir. </w:t>
      </w:r>
      <w:r w:rsidR="007D5CF0">
        <w:rPr>
          <w:rFonts w:ascii="Times New Roman" w:eastAsia="TimesNewRoman,Bold" w:hAnsi="Times New Roman" w:cs="Times New Roman"/>
          <w:bCs/>
          <w:sz w:val="24"/>
          <w:szCs w:val="24"/>
        </w:rPr>
        <w:t xml:space="preserve">Bileşiğin kanserojen potansiyeline ilişkin deneysel çalışma bulunmamaktadır. Sıçanlar ve tavşanlarda 100 mg/kg/gün’e dek olan dozlaraki embriyotoksisite çalışmalarında teratojenik potansiyelin herhangi bir kanıtı yoktu. Her iki türde de bu dozda embriyotoksik etkiler görüldü. </w:t>
      </w:r>
      <w:r w:rsidRPr="003D7AE1">
        <w:rPr>
          <w:rFonts w:ascii="Times New Roman" w:eastAsia="TimesNewRoman,Bold" w:hAnsi="Times New Roman" w:cs="Times New Roman"/>
          <w:bCs/>
          <w:sz w:val="24"/>
          <w:szCs w:val="24"/>
        </w:rPr>
        <w:t>Fötal gelişim periyodu ve laktasyon esnasında 10 mg/kg ve üzerindeki günlük dozlarda yavruların ağırlık artışını azalttı ve mortaliteyi artırdı. Erkek ve dişi sıçanların fertilitesi 100 mg/kg/gün’e dek olan dozlarda bozulmadı.</w:t>
      </w:r>
    </w:p>
    <w:p w14:paraId="16734A4D" w14:textId="77777777" w:rsidR="003D7AE1" w:rsidRPr="001D52E4" w:rsidRDefault="003D7AE1" w:rsidP="000251B8">
      <w:pPr>
        <w:autoSpaceDE w:val="0"/>
        <w:autoSpaceDN w:val="0"/>
        <w:adjustRightInd w:val="0"/>
        <w:spacing w:after="0" w:line="360" w:lineRule="auto"/>
        <w:jc w:val="both"/>
        <w:rPr>
          <w:rFonts w:ascii="Times New Roman" w:eastAsia="TimesNewRoman" w:hAnsi="Times New Roman" w:cs="Times New Roman"/>
          <w:sz w:val="24"/>
          <w:szCs w:val="24"/>
        </w:rPr>
      </w:pPr>
    </w:p>
    <w:p w14:paraId="5FF62E5C" w14:textId="77777777" w:rsidR="002061CB" w:rsidRPr="00877F58" w:rsidRDefault="00877F58" w:rsidP="000251B8">
      <w:pPr>
        <w:pStyle w:val="ListeParagraf"/>
        <w:numPr>
          <w:ilvl w:val="0"/>
          <w:numId w:val="14"/>
        </w:numPr>
        <w:autoSpaceDE w:val="0"/>
        <w:autoSpaceDN w:val="0"/>
        <w:adjustRightInd w:val="0"/>
        <w:spacing w:after="0" w:line="360" w:lineRule="auto"/>
        <w:ind w:left="426" w:hanging="426"/>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 </w:t>
      </w:r>
      <w:r w:rsidR="00250E05" w:rsidRPr="00877F58">
        <w:rPr>
          <w:rFonts w:ascii="Times New Roman" w:eastAsia="TimesNewRoman,Bold" w:hAnsi="Times New Roman" w:cs="Times New Roman"/>
          <w:b/>
          <w:bCs/>
          <w:sz w:val="24"/>
          <w:szCs w:val="24"/>
        </w:rPr>
        <w:t>FARMASÖ</w:t>
      </w:r>
      <w:r w:rsidR="002061CB" w:rsidRPr="00877F58">
        <w:rPr>
          <w:rFonts w:ascii="Times New Roman" w:eastAsia="TimesNewRoman,Bold" w:hAnsi="Times New Roman" w:cs="Times New Roman"/>
          <w:b/>
          <w:bCs/>
          <w:sz w:val="24"/>
          <w:szCs w:val="24"/>
        </w:rPr>
        <w:t>T</w:t>
      </w:r>
      <w:r w:rsidR="00250E05" w:rsidRPr="00877F58">
        <w:rPr>
          <w:rFonts w:ascii="Times New Roman" w:eastAsia="TimesNewRoman,Bold" w:hAnsi="Times New Roman" w:cs="Times New Roman"/>
          <w:b/>
          <w:bCs/>
          <w:sz w:val="24"/>
          <w:szCs w:val="24"/>
        </w:rPr>
        <w:t>İ</w:t>
      </w:r>
      <w:r w:rsidR="002061CB" w:rsidRPr="00877F58">
        <w:rPr>
          <w:rFonts w:ascii="Times New Roman" w:eastAsia="TimesNewRoman,Bold" w:hAnsi="Times New Roman" w:cs="Times New Roman"/>
          <w:b/>
          <w:bCs/>
          <w:sz w:val="24"/>
          <w:szCs w:val="24"/>
        </w:rPr>
        <w:t xml:space="preserve">K </w:t>
      </w:r>
      <w:r w:rsidR="00250E05" w:rsidRPr="00877F58">
        <w:rPr>
          <w:rFonts w:ascii="Times New Roman" w:eastAsia="TimesNewRoman,Bold" w:hAnsi="Times New Roman" w:cs="Times New Roman"/>
          <w:b/>
          <w:bCs/>
          <w:sz w:val="24"/>
          <w:szCs w:val="24"/>
        </w:rPr>
        <w:t>Ö</w:t>
      </w:r>
      <w:r w:rsidR="002061CB" w:rsidRPr="00877F58">
        <w:rPr>
          <w:rFonts w:ascii="Times New Roman" w:eastAsia="TimesNewRoman,Bold" w:hAnsi="Times New Roman" w:cs="Times New Roman"/>
          <w:b/>
          <w:bCs/>
          <w:sz w:val="24"/>
          <w:szCs w:val="24"/>
        </w:rPr>
        <w:t>ZELL</w:t>
      </w:r>
      <w:r w:rsidR="00250E05" w:rsidRPr="00877F58">
        <w:rPr>
          <w:rFonts w:ascii="Times New Roman" w:eastAsia="TimesNewRoman,Bold" w:hAnsi="Times New Roman" w:cs="Times New Roman"/>
          <w:b/>
          <w:bCs/>
          <w:sz w:val="24"/>
          <w:szCs w:val="24"/>
        </w:rPr>
        <w:t>İ</w:t>
      </w:r>
      <w:r w:rsidR="002061CB" w:rsidRPr="00877F58">
        <w:rPr>
          <w:rFonts w:ascii="Times New Roman" w:eastAsia="TimesNewRoman,Bold" w:hAnsi="Times New Roman" w:cs="Times New Roman"/>
          <w:b/>
          <w:bCs/>
          <w:sz w:val="24"/>
          <w:szCs w:val="24"/>
        </w:rPr>
        <w:t>KLER</w:t>
      </w:r>
    </w:p>
    <w:p w14:paraId="025D56B8" w14:textId="77777777" w:rsidR="002061CB" w:rsidRPr="001D52E4" w:rsidRDefault="00877F58" w:rsidP="00877F58">
      <w:pPr>
        <w:autoSpaceDE w:val="0"/>
        <w:autoSpaceDN w:val="0"/>
        <w:adjustRightInd w:val="0"/>
        <w:spacing w:line="36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6.1.    </w:t>
      </w:r>
      <w:r w:rsidR="002061CB" w:rsidRPr="001D52E4">
        <w:rPr>
          <w:rFonts w:ascii="Times New Roman" w:eastAsia="TimesNewRoman,Bold" w:hAnsi="Times New Roman" w:cs="Times New Roman"/>
          <w:b/>
          <w:bCs/>
          <w:sz w:val="24"/>
          <w:szCs w:val="24"/>
        </w:rPr>
        <w:t>Yardımcı maddelerin listesi</w:t>
      </w:r>
    </w:p>
    <w:p w14:paraId="51D47568" w14:textId="77777777" w:rsidR="00877F58" w:rsidRPr="00925741" w:rsidRDefault="00877F58" w:rsidP="00877F58">
      <w:pPr>
        <w:autoSpaceDE w:val="0"/>
        <w:autoSpaceDN w:val="0"/>
        <w:adjustRightInd w:val="0"/>
        <w:spacing w:after="0" w:line="360" w:lineRule="auto"/>
        <w:jc w:val="both"/>
        <w:rPr>
          <w:rFonts w:ascii="Times New Roman" w:eastAsia="TimesNewRoman" w:hAnsi="Times New Roman" w:cs="Times New Roman"/>
          <w:sz w:val="24"/>
          <w:szCs w:val="24"/>
        </w:rPr>
      </w:pPr>
      <w:bookmarkStart w:id="4" w:name="_Hlk187832772"/>
      <w:r w:rsidRPr="00925741">
        <w:rPr>
          <w:rFonts w:ascii="Times New Roman" w:eastAsia="TimesNewRoman" w:hAnsi="Times New Roman" w:cs="Times New Roman"/>
          <w:sz w:val="24"/>
          <w:szCs w:val="24"/>
        </w:rPr>
        <w:t>Propilen glikol</w:t>
      </w:r>
    </w:p>
    <w:p w14:paraId="5EA90933" w14:textId="77777777" w:rsidR="00E66740" w:rsidRDefault="00E66740" w:rsidP="00877F58">
      <w:pPr>
        <w:autoSpaceDE w:val="0"/>
        <w:autoSpaceDN w:val="0"/>
        <w:adjustRightInd w:val="0"/>
        <w:spacing w:after="0" w:line="360" w:lineRule="auto"/>
        <w:jc w:val="both"/>
        <w:rPr>
          <w:rFonts w:ascii="Times New Roman" w:eastAsia="TimesNewRoman" w:hAnsi="Times New Roman" w:cs="Times New Roman"/>
          <w:sz w:val="24"/>
          <w:szCs w:val="24"/>
        </w:rPr>
      </w:pPr>
      <w:r w:rsidRPr="00E66740">
        <w:rPr>
          <w:rFonts w:ascii="Times New Roman" w:eastAsia="TimesNewRoman" w:hAnsi="Times New Roman" w:cs="Times New Roman"/>
          <w:sz w:val="24"/>
          <w:szCs w:val="24"/>
        </w:rPr>
        <w:t>Polietilen glikol 400</w:t>
      </w:r>
    </w:p>
    <w:p w14:paraId="15D2C205" w14:textId="77777777" w:rsidR="00877F58" w:rsidRPr="00925741" w:rsidRDefault="00877F58" w:rsidP="00877F58">
      <w:pPr>
        <w:autoSpaceDE w:val="0"/>
        <w:autoSpaceDN w:val="0"/>
        <w:adjustRightInd w:val="0"/>
        <w:spacing w:after="0" w:line="360" w:lineRule="auto"/>
        <w:jc w:val="both"/>
        <w:rPr>
          <w:rFonts w:ascii="Times New Roman" w:eastAsia="TimesNewRoman" w:hAnsi="Times New Roman" w:cs="Times New Roman"/>
          <w:sz w:val="24"/>
          <w:szCs w:val="24"/>
        </w:rPr>
      </w:pPr>
      <w:r w:rsidRPr="00925741">
        <w:rPr>
          <w:rFonts w:ascii="Times New Roman" w:eastAsia="TimesNewRoman" w:hAnsi="Times New Roman" w:cs="Times New Roman"/>
          <w:sz w:val="24"/>
          <w:szCs w:val="24"/>
        </w:rPr>
        <w:t>Jelatin</w:t>
      </w:r>
      <w:r w:rsidR="00C25B32">
        <w:rPr>
          <w:rFonts w:ascii="Times New Roman" w:eastAsia="TimesNewRoman" w:hAnsi="Times New Roman" w:cs="Times New Roman"/>
          <w:sz w:val="24"/>
          <w:szCs w:val="24"/>
        </w:rPr>
        <w:t xml:space="preserve"> (sığır kaynaklı)</w:t>
      </w:r>
    </w:p>
    <w:p w14:paraId="516A0126" w14:textId="77777777" w:rsidR="00877F58" w:rsidRPr="00925741" w:rsidRDefault="00877F58" w:rsidP="00877F58">
      <w:pPr>
        <w:autoSpaceDE w:val="0"/>
        <w:autoSpaceDN w:val="0"/>
        <w:adjustRightInd w:val="0"/>
        <w:spacing w:after="0" w:line="360" w:lineRule="auto"/>
        <w:jc w:val="both"/>
        <w:rPr>
          <w:rFonts w:ascii="Times New Roman" w:eastAsia="TimesNewRoman" w:hAnsi="Times New Roman" w:cs="Times New Roman"/>
          <w:sz w:val="24"/>
          <w:szCs w:val="24"/>
        </w:rPr>
      </w:pPr>
      <w:r w:rsidRPr="00925741">
        <w:rPr>
          <w:rFonts w:ascii="Times New Roman" w:eastAsia="TimesNewRoman" w:hAnsi="Times New Roman" w:cs="Times New Roman"/>
          <w:sz w:val="24"/>
          <w:szCs w:val="24"/>
        </w:rPr>
        <w:t>Gliserol</w:t>
      </w:r>
    </w:p>
    <w:p w14:paraId="6ABAE5A5" w14:textId="77777777" w:rsidR="00925741" w:rsidRPr="00925741" w:rsidRDefault="00925741" w:rsidP="00877F58">
      <w:pPr>
        <w:autoSpaceDE w:val="0"/>
        <w:autoSpaceDN w:val="0"/>
        <w:adjustRightInd w:val="0"/>
        <w:spacing w:after="0" w:line="360" w:lineRule="auto"/>
        <w:jc w:val="both"/>
        <w:rPr>
          <w:rFonts w:ascii="Times New Roman" w:eastAsia="TimesNewRoman" w:hAnsi="Times New Roman" w:cs="Times New Roman"/>
          <w:sz w:val="24"/>
          <w:szCs w:val="24"/>
        </w:rPr>
      </w:pPr>
      <w:r w:rsidRPr="00925741">
        <w:rPr>
          <w:rFonts w:ascii="Times New Roman" w:eastAsia="TimesNewRoman" w:hAnsi="Times New Roman" w:cs="Times New Roman"/>
          <w:sz w:val="24"/>
          <w:szCs w:val="24"/>
        </w:rPr>
        <w:t>Sorbitol/Sorbitan Anidrisorb 85/70/00</w:t>
      </w:r>
    </w:p>
    <w:bookmarkEnd w:id="4"/>
    <w:p w14:paraId="1F08D8CA" w14:textId="77777777" w:rsidR="00877F58" w:rsidRPr="001D52E4" w:rsidRDefault="00877F58" w:rsidP="00877F5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31717BCD" w14:textId="77777777" w:rsidR="002061CB" w:rsidRPr="001D52E4" w:rsidRDefault="00877F58"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6.2.    </w:t>
      </w:r>
      <w:r w:rsidR="00250E05" w:rsidRPr="001D52E4">
        <w:rPr>
          <w:rFonts w:ascii="Times New Roman" w:eastAsia="TimesNewRoman,Bold" w:hAnsi="Times New Roman" w:cs="Times New Roman"/>
          <w:b/>
          <w:bCs/>
          <w:sz w:val="24"/>
          <w:szCs w:val="24"/>
        </w:rPr>
        <w:t>Geçimsizlikler</w:t>
      </w:r>
    </w:p>
    <w:p w14:paraId="69A726B6" w14:textId="484E2028" w:rsidR="002061CB" w:rsidRDefault="00877F58"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877F58">
        <w:rPr>
          <w:rFonts w:ascii="Times New Roman" w:eastAsia="TimesNewRoman" w:hAnsi="Times New Roman" w:cs="Times New Roman"/>
          <w:sz w:val="24"/>
          <w:szCs w:val="24"/>
        </w:rPr>
        <w:t>Bilinen bir geçimsizli</w:t>
      </w:r>
      <w:r w:rsidR="00957C91">
        <w:rPr>
          <w:rFonts w:ascii="Times New Roman" w:eastAsia="TimesNewRoman" w:hAnsi="Times New Roman" w:cs="Times New Roman"/>
          <w:sz w:val="24"/>
          <w:szCs w:val="24"/>
        </w:rPr>
        <w:t>ği</w:t>
      </w:r>
      <w:r w:rsidRPr="00877F58">
        <w:rPr>
          <w:rFonts w:ascii="Times New Roman" w:eastAsia="TimesNewRoman" w:hAnsi="Times New Roman" w:cs="Times New Roman"/>
          <w:sz w:val="24"/>
          <w:szCs w:val="24"/>
        </w:rPr>
        <w:t xml:space="preserve"> bulunmamaktadır.</w:t>
      </w:r>
    </w:p>
    <w:p w14:paraId="4C84F9A5" w14:textId="77777777" w:rsidR="00877F58" w:rsidRPr="001D52E4" w:rsidRDefault="00877F58"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246A0D81" w14:textId="77777777" w:rsidR="002061CB" w:rsidRPr="001D52E4" w:rsidRDefault="00877F58"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6.3.    </w:t>
      </w:r>
      <w:r w:rsidR="002061CB" w:rsidRPr="001D52E4">
        <w:rPr>
          <w:rFonts w:ascii="Times New Roman" w:eastAsia="TimesNewRoman,Bold" w:hAnsi="Times New Roman" w:cs="Times New Roman"/>
          <w:b/>
          <w:bCs/>
          <w:sz w:val="24"/>
          <w:szCs w:val="24"/>
        </w:rPr>
        <w:t xml:space="preserve">Raf </w:t>
      </w:r>
      <w:r w:rsidR="00250E05" w:rsidRPr="001D52E4">
        <w:rPr>
          <w:rFonts w:ascii="Times New Roman" w:eastAsia="TimesNewRoman,Bold" w:hAnsi="Times New Roman" w:cs="Times New Roman"/>
          <w:b/>
          <w:bCs/>
          <w:sz w:val="24"/>
          <w:szCs w:val="24"/>
        </w:rPr>
        <w:t>ömrü</w:t>
      </w:r>
    </w:p>
    <w:p w14:paraId="1394CA2F" w14:textId="77777777" w:rsidR="002061CB" w:rsidRPr="009155C1" w:rsidRDefault="00FE19D9" w:rsidP="000251B8">
      <w:pPr>
        <w:autoSpaceDE w:val="0"/>
        <w:autoSpaceDN w:val="0"/>
        <w:adjustRightInd w:val="0"/>
        <w:spacing w:after="0" w:line="360" w:lineRule="auto"/>
        <w:jc w:val="both"/>
        <w:rPr>
          <w:rFonts w:ascii="Times New Roman" w:eastAsia="TimesNewRoman" w:hAnsi="Times New Roman" w:cs="Times New Roman"/>
          <w:strike/>
          <w:sz w:val="24"/>
          <w:szCs w:val="24"/>
        </w:rPr>
      </w:pPr>
      <w:r w:rsidRPr="009155C1">
        <w:rPr>
          <w:rFonts w:ascii="Times New Roman" w:eastAsia="TimesNewRoman" w:hAnsi="Times New Roman" w:cs="Times New Roman"/>
          <w:sz w:val="24"/>
          <w:szCs w:val="24"/>
        </w:rPr>
        <w:t>36 ay</w:t>
      </w:r>
    </w:p>
    <w:p w14:paraId="4E1D2904" w14:textId="77777777" w:rsidR="00877F58" w:rsidRPr="001D52E4" w:rsidRDefault="00877F58"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4FBB6448" w14:textId="77777777" w:rsidR="002061CB" w:rsidRPr="001D52E4" w:rsidRDefault="00877F58"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6.4.    </w:t>
      </w:r>
      <w:r w:rsidR="002061CB" w:rsidRPr="001D52E4">
        <w:rPr>
          <w:rFonts w:ascii="Times New Roman" w:eastAsia="TimesNewRoman,Bold" w:hAnsi="Times New Roman" w:cs="Times New Roman"/>
          <w:b/>
          <w:bCs/>
          <w:sz w:val="24"/>
          <w:szCs w:val="24"/>
        </w:rPr>
        <w:t xml:space="preserve">Saklamaya </w:t>
      </w:r>
      <w:r w:rsidR="00250E05" w:rsidRPr="001D52E4">
        <w:rPr>
          <w:rFonts w:ascii="Times New Roman" w:eastAsia="TimesNewRoman,Bold" w:hAnsi="Times New Roman" w:cs="Times New Roman"/>
          <w:b/>
          <w:bCs/>
          <w:sz w:val="24"/>
          <w:szCs w:val="24"/>
        </w:rPr>
        <w:t>yönelik</w:t>
      </w:r>
      <w:r>
        <w:rPr>
          <w:rFonts w:ascii="Times New Roman" w:eastAsia="TimesNewRoman,Bold" w:hAnsi="Times New Roman" w:cs="Times New Roman"/>
          <w:b/>
          <w:bCs/>
          <w:sz w:val="24"/>
          <w:szCs w:val="24"/>
        </w:rPr>
        <w:t xml:space="preserve"> </w:t>
      </w:r>
      <w:r w:rsidR="00250E05" w:rsidRPr="001D52E4">
        <w:rPr>
          <w:rFonts w:ascii="Times New Roman" w:eastAsia="TimesNewRoman,Bold" w:hAnsi="Times New Roman" w:cs="Times New Roman"/>
          <w:b/>
          <w:bCs/>
          <w:sz w:val="24"/>
          <w:szCs w:val="24"/>
        </w:rPr>
        <w:t>özel</w:t>
      </w:r>
      <w:r w:rsidR="002061CB" w:rsidRPr="001D52E4">
        <w:rPr>
          <w:rFonts w:ascii="Times New Roman" w:eastAsia="TimesNewRoman,Bold" w:hAnsi="Times New Roman" w:cs="Times New Roman"/>
          <w:b/>
          <w:bCs/>
          <w:sz w:val="24"/>
          <w:szCs w:val="24"/>
        </w:rPr>
        <w:t xml:space="preserve"> uyarılar</w:t>
      </w:r>
    </w:p>
    <w:p w14:paraId="6302F239" w14:textId="77777777" w:rsidR="0045322D" w:rsidRPr="001D52E4" w:rsidRDefault="0045322D" w:rsidP="000251B8">
      <w:pPr>
        <w:autoSpaceDE w:val="0"/>
        <w:autoSpaceDN w:val="0"/>
        <w:adjustRightInd w:val="0"/>
        <w:spacing w:after="0" w:line="360" w:lineRule="auto"/>
        <w:jc w:val="both"/>
        <w:rPr>
          <w:rFonts w:ascii="Times New Roman" w:eastAsia="TimesNewRoman" w:hAnsi="Times New Roman" w:cs="Times New Roman"/>
          <w:sz w:val="24"/>
          <w:szCs w:val="24"/>
        </w:rPr>
      </w:pPr>
      <w:bookmarkStart w:id="5" w:name="_Hlk187841458"/>
      <w:r w:rsidRPr="00851947">
        <w:rPr>
          <w:rFonts w:ascii="Times New Roman" w:eastAsia="TimesNewRoman" w:hAnsi="Times New Roman" w:cs="Times New Roman"/>
          <w:sz w:val="24"/>
          <w:szCs w:val="24"/>
        </w:rPr>
        <w:t>25ºC’nin altınd</w:t>
      </w:r>
      <w:r w:rsidR="001A0D1B" w:rsidRPr="00851947">
        <w:rPr>
          <w:rFonts w:ascii="Times New Roman" w:eastAsia="TimesNewRoman" w:hAnsi="Times New Roman" w:cs="Times New Roman"/>
          <w:sz w:val="24"/>
          <w:szCs w:val="24"/>
        </w:rPr>
        <w:t>a oda sıcaklığında</w:t>
      </w:r>
      <w:r w:rsidR="00877F58" w:rsidRPr="00851947">
        <w:rPr>
          <w:rFonts w:ascii="Times New Roman" w:eastAsia="TimesNewRoman" w:hAnsi="Times New Roman" w:cs="Times New Roman"/>
          <w:sz w:val="24"/>
          <w:szCs w:val="24"/>
        </w:rPr>
        <w:t xml:space="preserve"> ve kuru bir yerde</w:t>
      </w:r>
      <w:r w:rsidR="001A0D1B" w:rsidRPr="00851947">
        <w:rPr>
          <w:rFonts w:ascii="Times New Roman" w:eastAsia="TimesNewRoman" w:hAnsi="Times New Roman" w:cs="Times New Roman"/>
          <w:sz w:val="24"/>
          <w:szCs w:val="24"/>
        </w:rPr>
        <w:t xml:space="preserve"> saklanmalıdır.</w:t>
      </w:r>
      <w:r w:rsidR="003D7AE1" w:rsidRPr="003D7AE1">
        <w:t xml:space="preserve"> </w:t>
      </w:r>
      <w:r w:rsidR="003D7AE1" w:rsidRPr="003D7AE1">
        <w:rPr>
          <w:rFonts w:ascii="Times New Roman" w:eastAsia="TimesNewRoman" w:hAnsi="Times New Roman" w:cs="Times New Roman"/>
          <w:sz w:val="24"/>
          <w:szCs w:val="24"/>
        </w:rPr>
        <w:t>Şişeler sıkıca kapalı tutulur.</w:t>
      </w:r>
    </w:p>
    <w:bookmarkEnd w:id="5"/>
    <w:p w14:paraId="03136D45" w14:textId="77777777" w:rsidR="00CB3E07" w:rsidRPr="001D52E4" w:rsidRDefault="00CB3E07"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1B53AD83" w14:textId="77777777" w:rsidR="002061CB" w:rsidRPr="001D52E4" w:rsidRDefault="00877F58"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6.5.    </w:t>
      </w:r>
      <w:r w:rsidR="002061CB" w:rsidRPr="001D52E4">
        <w:rPr>
          <w:rFonts w:ascii="Times New Roman" w:eastAsia="TimesNewRoman,Bold" w:hAnsi="Times New Roman" w:cs="Times New Roman"/>
          <w:b/>
          <w:bCs/>
          <w:sz w:val="24"/>
          <w:szCs w:val="24"/>
        </w:rPr>
        <w:t xml:space="preserve">Ambalajın niteliği ve </w:t>
      </w:r>
      <w:r w:rsidR="00250E05" w:rsidRPr="001D52E4">
        <w:rPr>
          <w:rFonts w:ascii="Times New Roman" w:eastAsia="TimesNewRoman,Bold" w:hAnsi="Times New Roman" w:cs="Times New Roman"/>
          <w:b/>
          <w:bCs/>
          <w:sz w:val="24"/>
          <w:szCs w:val="24"/>
        </w:rPr>
        <w:t>içeriği</w:t>
      </w:r>
    </w:p>
    <w:p w14:paraId="1087AE7A" w14:textId="43BFFF4C" w:rsidR="004B1110" w:rsidRDefault="0031590D" w:rsidP="004B1110">
      <w:pPr>
        <w:autoSpaceDE w:val="0"/>
        <w:autoSpaceDN w:val="0"/>
        <w:adjustRightInd w:val="0"/>
        <w:spacing w:after="0" w:line="360" w:lineRule="auto"/>
        <w:jc w:val="both"/>
        <w:rPr>
          <w:rFonts w:ascii="Times New Roman" w:eastAsia="TimesNewRoman,Bold" w:hAnsi="Times New Roman" w:cs="Times New Roman"/>
          <w:b/>
          <w:bCs/>
          <w:sz w:val="24"/>
          <w:szCs w:val="24"/>
        </w:rPr>
      </w:pPr>
      <w:r w:rsidRPr="0031590D">
        <w:rPr>
          <w:rFonts w:ascii="Times New Roman" w:eastAsia="TimesNewRoman" w:hAnsi="Times New Roman" w:cs="Times New Roman"/>
          <w:sz w:val="24"/>
          <w:szCs w:val="24"/>
        </w:rPr>
        <w:t>PİKSATİF 2</w:t>
      </w:r>
      <w:r w:rsidR="000F30A5">
        <w:rPr>
          <w:rFonts w:ascii="Times New Roman" w:eastAsia="TimesNewRoman" w:hAnsi="Times New Roman" w:cs="Times New Roman"/>
          <w:sz w:val="24"/>
          <w:szCs w:val="24"/>
        </w:rPr>
        <w:t>,</w:t>
      </w:r>
      <w:r w:rsidRPr="0031590D">
        <w:rPr>
          <w:rFonts w:ascii="Times New Roman" w:eastAsia="TimesNewRoman" w:hAnsi="Times New Roman" w:cs="Times New Roman"/>
          <w:sz w:val="24"/>
          <w:szCs w:val="24"/>
        </w:rPr>
        <w:t xml:space="preserve">5 mg yumuşak kapsül, çocuk emniyet kilitli beyaz </w:t>
      </w:r>
      <w:r w:rsidR="00A6295B">
        <w:rPr>
          <w:rFonts w:ascii="Times New Roman" w:eastAsia="TimesNewRoman" w:hAnsi="Times New Roman" w:cs="Times New Roman"/>
          <w:sz w:val="24"/>
          <w:szCs w:val="24"/>
        </w:rPr>
        <w:t>plastik</w:t>
      </w:r>
      <w:r w:rsidRPr="0031590D">
        <w:rPr>
          <w:rFonts w:ascii="Times New Roman" w:eastAsia="TimesNewRoman" w:hAnsi="Times New Roman" w:cs="Times New Roman"/>
          <w:sz w:val="24"/>
          <w:szCs w:val="24"/>
        </w:rPr>
        <w:t xml:space="preserve"> kapaklı, 16 ml, şeffaf, renksiz </w:t>
      </w:r>
      <w:r w:rsidR="00A6295B">
        <w:rPr>
          <w:rFonts w:ascii="Times New Roman" w:eastAsia="TimesNewRoman" w:hAnsi="Times New Roman" w:cs="Times New Roman"/>
          <w:sz w:val="24"/>
          <w:szCs w:val="24"/>
        </w:rPr>
        <w:t>plastik</w:t>
      </w:r>
      <w:r w:rsidRPr="0031590D">
        <w:rPr>
          <w:rFonts w:ascii="Times New Roman" w:eastAsia="TimesNewRoman" w:hAnsi="Times New Roman" w:cs="Times New Roman"/>
          <w:sz w:val="24"/>
          <w:szCs w:val="24"/>
        </w:rPr>
        <w:t xml:space="preserve"> şişe içinde 50 yumuşak kapsül içerir.</w:t>
      </w:r>
    </w:p>
    <w:p w14:paraId="403D28A8" w14:textId="77777777" w:rsidR="003D7AE1" w:rsidRPr="001D52E4" w:rsidRDefault="003D7AE1" w:rsidP="004B1110">
      <w:pPr>
        <w:autoSpaceDE w:val="0"/>
        <w:autoSpaceDN w:val="0"/>
        <w:adjustRightInd w:val="0"/>
        <w:spacing w:after="0" w:line="360" w:lineRule="auto"/>
        <w:jc w:val="both"/>
        <w:rPr>
          <w:rFonts w:ascii="Times New Roman" w:eastAsia="TimesNewRoman,Bold" w:hAnsi="Times New Roman" w:cs="Times New Roman"/>
          <w:b/>
          <w:bCs/>
          <w:sz w:val="24"/>
          <w:szCs w:val="24"/>
        </w:rPr>
      </w:pPr>
    </w:p>
    <w:p w14:paraId="054D8090" w14:textId="77777777" w:rsidR="002061CB" w:rsidRPr="001D52E4"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r w:rsidRPr="001D52E4">
        <w:rPr>
          <w:rFonts w:ascii="Times New Roman" w:eastAsia="TimesNewRoman,Bold" w:hAnsi="Times New Roman" w:cs="Times New Roman"/>
          <w:b/>
          <w:bCs/>
          <w:sz w:val="24"/>
          <w:szCs w:val="24"/>
        </w:rPr>
        <w:t xml:space="preserve">6.6. </w:t>
      </w:r>
      <w:r w:rsidR="00250E05" w:rsidRPr="001D52E4">
        <w:rPr>
          <w:rFonts w:ascii="Times New Roman" w:eastAsia="TimesNewRoman,Bold" w:hAnsi="Times New Roman" w:cs="Times New Roman"/>
          <w:b/>
          <w:bCs/>
          <w:sz w:val="24"/>
          <w:szCs w:val="24"/>
        </w:rPr>
        <w:t>Beşeri</w:t>
      </w:r>
      <w:r w:rsidRPr="001D52E4">
        <w:rPr>
          <w:rFonts w:ascii="Times New Roman" w:eastAsia="TimesNewRoman,Bold" w:hAnsi="Times New Roman" w:cs="Times New Roman"/>
          <w:b/>
          <w:bCs/>
          <w:sz w:val="24"/>
          <w:szCs w:val="24"/>
        </w:rPr>
        <w:t xml:space="preserve"> tıbbi </w:t>
      </w:r>
      <w:r w:rsidR="00D36E51" w:rsidRPr="001D52E4">
        <w:rPr>
          <w:rFonts w:ascii="Times New Roman" w:eastAsia="TimesNewRoman,Bold" w:hAnsi="Times New Roman" w:cs="Times New Roman"/>
          <w:b/>
          <w:bCs/>
          <w:sz w:val="24"/>
          <w:szCs w:val="24"/>
        </w:rPr>
        <w:t>ürün</w:t>
      </w:r>
      <w:r w:rsidRPr="001D52E4">
        <w:rPr>
          <w:rFonts w:ascii="Times New Roman" w:eastAsia="TimesNewRoman,Bold" w:hAnsi="Times New Roman" w:cs="Times New Roman"/>
          <w:b/>
          <w:bCs/>
          <w:sz w:val="24"/>
          <w:szCs w:val="24"/>
        </w:rPr>
        <w:t xml:space="preserve">den arta kalan maddelerin imhası ve diğer </w:t>
      </w:r>
      <w:r w:rsidR="00250E05" w:rsidRPr="001D52E4">
        <w:rPr>
          <w:rFonts w:ascii="Times New Roman" w:eastAsia="TimesNewRoman,Bold" w:hAnsi="Times New Roman" w:cs="Times New Roman"/>
          <w:b/>
          <w:bCs/>
          <w:sz w:val="24"/>
          <w:szCs w:val="24"/>
        </w:rPr>
        <w:t>özel</w:t>
      </w:r>
      <w:r w:rsidR="00877F58">
        <w:rPr>
          <w:rFonts w:ascii="Times New Roman" w:eastAsia="TimesNewRoman,Bold" w:hAnsi="Times New Roman" w:cs="Times New Roman"/>
          <w:b/>
          <w:bCs/>
          <w:sz w:val="24"/>
          <w:szCs w:val="24"/>
        </w:rPr>
        <w:t xml:space="preserve"> </w:t>
      </w:r>
      <w:r w:rsidR="00250E05" w:rsidRPr="001D52E4">
        <w:rPr>
          <w:rFonts w:ascii="Times New Roman" w:eastAsia="TimesNewRoman,Bold" w:hAnsi="Times New Roman" w:cs="Times New Roman"/>
          <w:b/>
          <w:bCs/>
          <w:sz w:val="24"/>
          <w:szCs w:val="24"/>
        </w:rPr>
        <w:t>önlemler</w:t>
      </w:r>
    </w:p>
    <w:p w14:paraId="0949CB63" w14:textId="77777777" w:rsidR="000C50A1" w:rsidRPr="001D52E4" w:rsidRDefault="000C50A1" w:rsidP="000251B8">
      <w:pPr>
        <w:autoSpaceDE w:val="0"/>
        <w:autoSpaceDN w:val="0"/>
        <w:adjustRightInd w:val="0"/>
        <w:spacing w:after="0" w:line="360" w:lineRule="auto"/>
        <w:jc w:val="both"/>
        <w:rPr>
          <w:rFonts w:ascii="Times New Roman" w:eastAsia="TimesNewRoman" w:hAnsi="Times New Roman" w:cs="Times New Roman"/>
          <w:sz w:val="24"/>
          <w:szCs w:val="24"/>
        </w:rPr>
      </w:pPr>
      <w:r w:rsidRPr="001D52E4">
        <w:rPr>
          <w:rFonts w:ascii="Times New Roman" w:eastAsia="TimesNewRoman" w:hAnsi="Times New Roman" w:cs="Times New Roman"/>
          <w:sz w:val="24"/>
          <w:szCs w:val="24"/>
        </w:rPr>
        <w:t>Özel bir gereklilik yoktur.</w:t>
      </w:r>
    </w:p>
    <w:p w14:paraId="09867612" w14:textId="77777777" w:rsidR="00D833B1" w:rsidRDefault="00D833B1" w:rsidP="00D833B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1642067" w14:textId="0323A53B" w:rsidR="00D833B1" w:rsidRPr="008613C4" w:rsidRDefault="00D833B1" w:rsidP="00D833B1">
      <w:pPr>
        <w:autoSpaceDE w:val="0"/>
        <w:autoSpaceDN w:val="0"/>
        <w:adjustRightInd w:val="0"/>
        <w:spacing w:after="0" w:line="360" w:lineRule="auto"/>
        <w:jc w:val="both"/>
        <w:rPr>
          <w:rFonts w:ascii="Times New Roman" w:hAnsi="Times New Roman" w:cs="Times New Roman"/>
          <w:color w:val="000000" w:themeColor="text1"/>
          <w:sz w:val="24"/>
          <w:szCs w:val="24"/>
        </w:rPr>
      </w:pPr>
      <w:r w:rsidRPr="008613C4">
        <w:rPr>
          <w:rFonts w:ascii="Times New Roman" w:hAnsi="Times New Roman" w:cs="Times New Roman"/>
          <w:color w:val="000000" w:themeColor="text1"/>
          <w:sz w:val="24"/>
          <w:szCs w:val="24"/>
        </w:rPr>
        <w:t>Kullanılmamış olan ürünler ya da atık materyaller “Tıbbi Atıkların Kontrolü Yönetmeliği” ve</w:t>
      </w:r>
    </w:p>
    <w:p w14:paraId="793BB4A7" w14:textId="77777777" w:rsidR="00D833B1" w:rsidRPr="008613C4" w:rsidRDefault="00D833B1" w:rsidP="00D833B1">
      <w:pPr>
        <w:autoSpaceDE w:val="0"/>
        <w:autoSpaceDN w:val="0"/>
        <w:adjustRightInd w:val="0"/>
        <w:spacing w:after="0" w:line="360" w:lineRule="auto"/>
        <w:jc w:val="both"/>
        <w:rPr>
          <w:rFonts w:ascii="Times New Roman" w:hAnsi="Times New Roman" w:cs="Times New Roman"/>
          <w:color w:val="000000" w:themeColor="text1"/>
          <w:sz w:val="24"/>
          <w:szCs w:val="24"/>
        </w:rPr>
      </w:pPr>
      <w:r w:rsidRPr="008613C4">
        <w:rPr>
          <w:rFonts w:ascii="Times New Roman" w:hAnsi="Times New Roman" w:cs="Times New Roman"/>
          <w:color w:val="000000" w:themeColor="text1"/>
          <w:sz w:val="24"/>
          <w:szCs w:val="24"/>
        </w:rPr>
        <w:t>“</w:t>
      </w:r>
      <w:bookmarkStart w:id="6" w:name="_Hlk215133814"/>
      <w:r w:rsidRPr="008613C4">
        <w:rPr>
          <w:rFonts w:ascii="Times New Roman" w:hAnsi="Times New Roman" w:cs="Times New Roman"/>
          <w:color w:val="000000" w:themeColor="text1"/>
          <w:sz w:val="24"/>
          <w:szCs w:val="24"/>
        </w:rPr>
        <w:t>Ambalaj Atıklarının Kontrolü Yönetmelikleri</w:t>
      </w:r>
      <w:bookmarkEnd w:id="6"/>
      <w:r w:rsidRPr="008613C4">
        <w:rPr>
          <w:rFonts w:ascii="Times New Roman" w:hAnsi="Times New Roman" w:cs="Times New Roman"/>
          <w:color w:val="000000" w:themeColor="text1"/>
          <w:sz w:val="24"/>
          <w:szCs w:val="24"/>
        </w:rPr>
        <w:t>”ne uygun olarak imha edilmelidir.</w:t>
      </w:r>
    </w:p>
    <w:p w14:paraId="715DF231" w14:textId="77777777" w:rsidR="002061CB" w:rsidRPr="001D52E4" w:rsidRDefault="002061CB"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3C21386A" w14:textId="77777777" w:rsidR="002061CB" w:rsidRDefault="002061CB" w:rsidP="00877F58">
      <w:pPr>
        <w:pStyle w:val="ListeParagraf"/>
        <w:numPr>
          <w:ilvl w:val="0"/>
          <w:numId w:val="14"/>
        </w:numPr>
        <w:autoSpaceDE w:val="0"/>
        <w:autoSpaceDN w:val="0"/>
        <w:adjustRightInd w:val="0"/>
        <w:spacing w:after="0" w:line="360" w:lineRule="auto"/>
        <w:ind w:left="426" w:hanging="426"/>
        <w:jc w:val="both"/>
        <w:rPr>
          <w:rFonts w:ascii="Times New Roman" w:eastAsia="TimesNewRoman,Bold" w:hAnsi="Times New Roman" w:cs="Times New Roman"/>
          <w:b/>
          <w:bCs/>
          <w:sz w:val="24"/>
          <w:szCs w:val="24"/>
        </w:rPr>
      </w:pPr>
      <w:r w:rsidRPr="00877F58">
        <w:rPr>
          <w:rFonts w:ascii="Times New Roman" w:eastAsia="TimesNewRoman,Bold" w:hAnsi="Times New Roman" w:cs="Times New Roman"/>
          <w:b/>
          <w:bCs/>
          <w:sz w:val="24"/>
          <w:szCs w:val="24"/>
        </w:rPr>
        <w:t>RUHSAT SAH</w:t>
      </w:r>
      <w:r w:rsidR="00250E05" w:rsidRPr="00877F58">
        <w:rPr>
          <w:rFonts w:ascii="Times New Roman" w:eastAsia="TimesNewRoman,Bold" w:hAnsi="Times New Roman" w:cs="Times New Roman"/>
          <w:b/>
          <w:bCs/>
          <w:sz w:val="24"/>
          <w:szCs w:val="24"/>
        </w:rPr>
        <w:t>İ</w:t>
      </w:r>
      <w:r w:rsidRPr="00877F58">
        <w:rPr>
          <w:rFonts w:ascii="Times New Roman" w:eastAsia="TimesNewRoman,Bold" w:hAnsi="Times New Roman" w:cs="Times New Roman"/>
          <w:b/>
          <w:bCs/>
          <w:sz w:val="24"/>
          <w:szCs w:val="24"/>
        </w:rPr>
        <w:t>B</w:t>
      </w:r>
      <w:r w:rsidR="00250E05" w:rsidRPr="00877F58">
        <w:rPr>
          <w:rFonts w:ascii="Times New Roman" w:eastAsia="TimesNewRoman,Bold" w:hAnsi="Times New Roman" w:cs="Times New Roman"/>
          <w:b/>
          <w:bCs/>
          <w:sz w:val="24"/>
          <w:szCs w:val="24"/>
        </w:rPr>
        <w:t>İ</w:t>
      </w:r>
    </w:p>
    <w:p w14:paraId="679113FD" w14:textId="77777777" w:rsidR="00957C91" w:rsidRPr="00957C91" w:rsidRDefault="00957C91" w:rsidP="00957C91">
      <w:pPr>
        <w:pStyle w:val="Default"/>
        <w:spacing w:line="360" w:lineRule="auto"/>
      </w:pPr>
      <w:r w:rsidRPr="00957C91">
        <w:t xml:space="preserve">Tab İlaç Sanayi ve Tic. A.Ş. </w:t>
      </w:r>
    </w:p>
    <w:p w14:paraId="43B8B89C" w14:textId="77777777" w:rsidR="00957C91" w:rsidRPr="00957C91" w:rsidRDefault="00957C91" w:rsidP="00957C91">
      <w:pPr>
        <w:pStyle w:val="Default"/>
        <w:spacing w:line="360" w:lineRule="auto"/>
      </w:pPr>
      <w:r w:rsidRPr="00957C91">
        <w:t xml:space="preserve">Akçaburgaz Mah. Akçaburgaz Cad. No: 42 </w:t>
      </w:r>
    </w:p>
    <w:p w14:paraId="208F2180" w14:textId="77777777" w:rsidR="00957C91" w:rsidRPr="00957C91" w:rsidRDefault="00957C91" w:rsidP="00957C91">
      <w:pPr>
        <w:pStyle w:val="Default"/>
        <w:spacing w:line="360" w:lineRule="auto"/>
      </w:pPr>
      <w:r w:rsidRPr="00957C91">
        <w:t xml:space="preserve">Esenyurt / İstanbul </w:t>
      </w:r>
    </w:p>
    <w:p w14:paraId="2E04E366" w14:textId="77777777" w:rsidR="00957C91" w:rsidRPr="00957C91" w:rsidRDefault="00957C91" w:rsidP="00957C91">
      <w:pPr>
        <w:pStyle w:val="Default"/>
        <w:spacing w:line="360" w:lineRule="auto"/>
      </w:pPr>
      <w:r w:rsidRPr="00957C91">
        <w:t xml:space="preserve">Tel: +90 212 438 70 83 </w:t>
      </w:r>
    </w:p>
    <w:p w14:paraId="208D8EA4" w14:textId="0C9486DE" w:rsidR="00957C91" w:rsidRPr="00957C91" w:rsidRDefault="00957C91" w:rsidP="00957C91">
      <w:pPr>
        <w:autoSpaceDE w:val="0"/>
        <w:autoSpaceDN w:val="0"/>
        <w:adjustRightInd w:val="0"/>
        <w:spacing w:after="0" w:line="360" w:lineRule="auto"/>
        <w:jc w:val="both"/>
        <w:rPr>
          <w:rFonts w:ascii="Times New Roman" w:hAnsi="Times New Roman" w:cs="Times New Roman"/>
          <w:sz w:val="24"/>
          <w:szCs w:val="24"/>
        </w:rPr>
      </w:pPr>
      <w:r w:rsidRPr="00957C91">
        <w:rPr>
          <w:rFonts w:ascii="Times New Roman" w:hAnsi="Times New Roman" w:cs="Times New Roman"/>
          <w:sz w:val="24"/>
          <w:szCs w:val="24"/>
        </w:rPr>
        <w:t>Faks: +90 212 438 70 84</w:t>
      </w:r>
    </w:p>
    <w:p w14:paraId="7D466E1D" w14:textId="77777777" w:rsidR="00957C91" w:rsidRPr="00957C91" w:rsidRDefault="00957C91" w:rsidP="00957C91">
      <w:pPr>
        <w:autoSpaceDE w:val="0"/>
        <w:autoSpaceDN w:val="0"/>
        <w:adjustRightInd w:val="0"/>
        <w:spacing w:after="0" w:line="360" w:lineRule="auto"/>
        <w:jc w:val="both"/>
        <w:rPr>
          <w:rFonts w:ascii="Times New Roman" w:eastAsia="TimesNewRoman,Bold" w:hAnsi="Times New Roman" w:cs="Times New Roman"/>
          <w:b/>
          <w:bCs/>
          <w:sz w:val="24"/>
          <w:szCs w:val="24"/>
        </w:rPr>
      </w:pPr>
    </w:p>
    <w:p w14:paraId="248A397D" w14:textId="77777777" w:rsidR="002061CB" w:rsidRDefault="002061CB" w:rsidP="00877F58">
      <w:pPr>
        <w:pStyle w:val="ListeParagraf"/>
        <w:numPr>
          <w:ilvl w:val="0"/>
          <w:numId w:val="14"/>
        </w:numPr>
        <w:autoSpaceDE w:val="0"/>
        <w:autoSpaceDN w:val="0"/>
        <w:adjustRightInd w:val="0"/>
        <w:spacing w:after="0" w:line="360" w:lineRule="auto"/>
        <w:ind w:left="426" w:hanging="426"/>
        <w:jc w:val="both"/>
        <w:rPr>
          <w:rFonts w:ascii="Times New Roman" w:eastAsia="TimesNewRoman,Bold" w:hAnsi="Times New Roman" w:cs="Times New Roman"/>
          <w:b/>
          <w:bCs/>
          <w:sz w:val="24"/>
          <w:szCs w:val="24"/>
        </w:rPr>
      </w:pPr>
      <w:r w:rsidRPr="0075261A">
        <w:rPr>
          <w:rFonts w:ascii="Times New Roman" w:eastAsia="TimesNewRoman,Bold" w:hAnsi="Times New Roman" w:cs="Times New Roman"/>
          <w:b/>
          <w:bCs/>
          <w:sz w:val="24"/>
          <w:szCs w:val="24"/>
        </w:rPr>
        <w:t>RUHSAT NUMARASI</w:t>
      </w:r>
    </w:p>
    <w:p w14:paraId="653E797A" w14:textId="6E8B5B6E" w:rsidR="002061CB" w:rsidRPr="004F0141" w:rsidRDefault="00136BF9" w:rsidP="000251B8">
      <w:pPr>
        <w:autoSpaceDE w:val="0"/>
        <w:autoSpaceDN w:val="0"/>
        <w:adjustRightInd w:val="0"/>
        <w:spacing w:after="0" w:line="360" w:lineRule="auto"/>
        <w:jc w:val="both"/>
        <w:rPr>
          <w:rFonts w:ascii="Times New Roman" w:eastAsia="Calibri" w:hAnsi="Times New Roman"/>
          <w:color w:val="000000" w:themeColor="text1"/>
          <w:sz w:val="24"/>
          <w:szCs w:val="24"/>
        </w:rPr>
      </w:pPr>
      <w:r w:rsidRPr="004F0141">
        <w:rPr>
          <w:rFonts w:ascii="Times New Roman" w:eastAsia="Calibri" w:hAnsi="Times New Roman"/>
          <w:color w:val="000000" w:themeColor="text1"/>
          <w:sz w:val="24"/>
          <w:szCs w:val="24"/>
        </w:rPr>
        <w:t>2026/145</w:t>
      </w:r>
    </w:p>
    <w:p w14:paraId="33606723" w14:textId="77777777" w:rsidR="002C0FD6" w:rsidRDefault="002C0FD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1F29914D" w14:textId="77777777" w:rsidR="002C0FD6" w:rsidRPr="0075261A" w:rsidRDefault="002C0FD6" w:rsidP="000251B8">
      <w:pPr>
        <w:autoSpaceDE w:val="0"/>
        <w:autoSpaceDN w:val="0"/>
        <w:adjustRightInd w:val="0"/>
        <w:spacing w:after="0" w:line="360" w:lineRule="auto"/>
        <w:jc w:val="both"/>
        <w:rPr>
          <w:rFonts w:ascii="Times New Roman" w:eastAsia="TimesNewRoman,Bold" w:hAnsi="Times New Roman" w:cs="Times New Roman"/>
          <w:b/>
          <w:bCs/>
          <w:sz w:val="24"/>
          <w:szCs w:val="24"/>
        </w:rPr>
      </w:pPr>
    </w:p>
    <w:p w14:paraId="28C7307D" w14:textId="77777777" w:rsidR="002061CB" w:rsidRPr="0075261A" w:rsidRDefault="00250E05" w:rsidP="00877F58">
      <w:pPr>
        <w:pStyle w:val="ListeParagraf"/>
        <w:numPr>
          <w:ilvl w:val="0"/>
          <w:numId w:val="14"/>
        </w:numPr>
        <w:autoSpaceDE w:val="0"/>
        <w:autoSpaceDN w:val="0"/>
        <w:adjustRightInd w:val="0"/>
        <w:spacing w:after="0" w:line="360" w:lineRule="auto"/>
        <w:ind w:left="426" w:hanging="426"/>
        <w:jc w:val="both"/>
        <w:rPr>
          <w:rFonts w:ascii="Times New Roman" w:eastAsia="TimesNewRoman,Bold" w:hAnsi="Times New Roman" w:cs="Times New Roman"/>
          <w:b/>
          <w:bCs/>
          <w:sz w:val="24"/>
          <w:szCs w:val="24"/>
        </w:rPr>
      </w:pPr>
      <w:r w:rsidRPr="0075261A">
        <w:rPr>
          <w:rFonts w:ascii="Times New Roman" w:eastAsia="TimesNewRoman,Bold" w:hAnsi="Times New Roman" w:cs="Times New Roman"/>
          <w:b/>
          <w:bCs/>
          <w:sz w:val="24"/>
          <w:szCs w:val="24"/>
        </w:rPr>
        <w:t>İ</w:t>
      </w:r>
      <w:r w:rsidR="002061CB" w:rsidRPr="0075261A">
        <w:rPr>
          <w:rFonts w:ascii="Times New Roman" w:eastAsia="TimesNewRoman,Bold" w:hAnsi="Times New Roman" w:cs="Times New Roman"/>
          <w:b/>
          <w:bCs/>
          <w:sz w:val="24"/>
          <w:szCs w:val="24"/>
        </w:rPr>
        <w:t>LK RUHSAT TAR</w:t>
      </w:r>
      <w:r w:rsidRPr="0075261A">
        <w:rPr>
          <w:rFonts w:ascii="Times New Roman" w:eastAsia="TimesNewRoman,Bold" w:hAnsi="Times New Roman" w:cs="Times New Roman"/>
          <w:b/>
          <w:bCs/>
          <w:sz w:val="24"/>
          <w:szCs w:val="24"/>
        </w:rPr>
        <w:t>İ</w:t>
      </w:r>
      <w:r w:rsidR="002061CB" w:rsidRPr="0075261A">
        <w:rPr>
          <w:rFonts w:ascii="Times New Roman" w:eastAsia="TimesNewRoman,Bold" w:hAnsi="Times New Roman" w:cs="Times New Roman"/>
          <w:b/>
          <w:bCs/>
          <w:sz w:val="24"/>
          <w:szCs w:val="24"/>
        </w:rPr>
        <w:t>H</w:t>
      </w:r>
      <w:r w:rsidRPr="0075261A">
        <w:rPr>
          <w:rFonts w:ascii="Times New Roman" w:eastAsia="TimesNewRoman,Bold" w:hAnsi="Times New Roman" w:cs="Times New Roman"/>
          <w:b/>
          <w:bCs/>
          <w:sz w:val="24"/>
          <w:szCs w:val="24"/>
        </w:rPr>
        <w:t>İ / RUHSAT YENİ</w:t>
      </w:r>
      <w:r w:rsidR="002061CB" w:rsidRPr="0075261A">
        <w:rPr>
          <w:rFonts w:ascii="Times New Roman" w:eastAsia="TimesNewRoman,Bold" w:hAnsi="Times New Roman" w:cs="Times New Roman"/>
          <w:b/>
          <w:bCs/>
          <w:sz w:val="24"/>
          <w:szCs w:val="24"/>
        </w:rPr>
        <w:t>LEME TAR</w:t>
      </w:r>
      <w:r w:rsidRPr="0075261A">
        <w:rPr>
          <w:rFonts w:ascii="Times New Roman" w:eastAsia="TimesNewRoman,Bold" w:hAnsi="Times New Roman" w:cs="Times New Roman"/>
          <w:b/>
          <w:bCs/>
          <w:sz w:val="24"/>
          <w:szCs w:val="24"/>
        </w:rPr>
        <w:t>İ</w:t>
      </w:r>
      <w:r w:rsidR="002061CB" w:rsidRPr="0075261A">
        <w:rPr>
          <w:rFonts w:ascii="Times New Roman" w:eastAsia="TimesNewRoman,Bold" w:hAnsi="Times New Roman" w:cs="Times New Roman"/>
          <w:b/>
          <w:bCs/>
          <w:sz w:val="24"/>
          <w:szCs w:val="24"/>
        </w:rPr>
        <w:t>H</w:t>
      </w:r>
      <w:r w:rsidRPr="0075261A">
        <w:rPr>
          <w:rFonts w:ascii="Times New Roman" w:eastAsia="TimesNewRoman,Bold" w:hAnsi="Times New Roman" w:cs="Times New Roman"/>
          <w:b/>
          <w:bCs/>
          <w:sz w:val="24"/>
          <w:szCs w:val="24"/>
        </w:rPr>
        <w:t>İ</w:t>
      </w:r>
    </w:p>
    <w:p w14:paraId="7C9BE5DA" w14:textId="314FEC3C" w:rsidR="002061CB" w:rsidRPr="004F0141" w:rsidRDefault="00250E05" w:rsidP="00123EAB">
      <w:pPr>
        <w:autoSpaceDE w:val="0"/>
        <w:autoSpaceDN w:val="0"/>
        <w:adjustRightInd w:val="0"/>
        <w:spacing w:after="0" w:line="360" w:lineRule="auto"/>
        <w:jc w:val="both"/>
        <w:rPr>
          <w:rFonts w:ascii="Times New Roman" w:eastAsia="TimesNewRoman" w:hAnsi="Times New Roman" w:cs="Times New Roman"/>
          <w:color w:val="000000" w:themeColor="text1"/>
          <w:sz w:val="24"/>
          <w:szCs w:val="24"/>
        </w:rPr>
      </w:pPr>
      <w:r w:rsidRPr="0075261A">
        <w:rPr>
          <w:rFonts w:ascii="Times New Roman" w:eastAsia="TimesNewRoman" w:hAnsi="Times New Roman" w:cs="Times New Roman"/>
          <w:sz w:val="24"/>
          <w:szCs w:val="24"/>
        </w:rPr>
        <w:t>İ</w:t>
      </w:r>
      <w:r w:rsidR="002061CB" w:rsidRPr="0075261A">
        <w:rPr>
          <w:rFonts w:ascii="Times New Roman" w:eastAsia="TimesNewRoman" w:hAnsi="Times New Roman" w:cs="Times New Roman"/>
          <w:sz w:val="24"/>
          <w:szCs w:val="24"/>
        </w:rPr>
        <w:t xml:space="preserve">lk ruhsatlandırma tarihi: </w:t>
      </w:r>
      <w:r w:rsidR="00D57ABB">
        <w:rPr>
          <w:rFonts w:ascii="Times New Roman" w:eastAsia="TimesNewRoman" w:hAnsi="Times New Roman" w:cs="Times New Roman"/>
          <w:color w:val="000000" w:themeColor="text1"/>
          <w:sz w:val="24"/>
          <w:szCs w:val="24"/>
        </w:rPr>
        <w:t>13.04.2026</w:t>
      </w:r>
    </w:p>
    <w:p w14:paraId="03CDD01D" w14:textId="77777777" w:rsidR="002061CB" w:rsidRPr="004F0141" w:rsidRDefault="00B35E49" w:rsidP="00123EAB">
      <w:pPr>
        <w:spacing w:after="0" w:line="360" w:lineRule="auto"/>
        <w:jc w:val="both"/>
        <w:rPr>
          <w:rFonts w:ascii="Times New Roman" w:eastAsia="TimesNewRoman,Bold" w:hAnsi="Times New Roman" w:cs="Times New Roman"/>
          <w:bCs/>
          <w:color w:val="000000" w:themeColor="text1"/>
          <w:sz w:val="24"/>
          <w:szCs w:val="24"/>
        </w:rPr>
      </w:pPr>
      <w:r w:rsidRPr="004F0141">
        <w:rPr>
          <w:rFonts w:ascii="Times New Roman" w:eastAsia="TimesNewRoman,Bold" w:hAnsi="Times New Roman" w:cs="Times New Roman"/>
          <w:bCs/>
          <w:color w:val="000000" w:themeColor="text1"/>
          <w:sz w:val="24"/>
          <w:szCs w:val="24"/>
        </w:rPr>
        <w:t>Ruhsat yenileme tarihi:</w:t>
      </w:r>
    </w:p>
    <w:p w14:paraId="09B59C04" w14:textId="77777777" w:rsidR="00B35E49" w:rsidRPr="00B35E49" w:rsidRDefault="00B35E49" w:rsidP="00123EAB">
      <w:pPr>
        <w:spacing w:after="0" w:line="360" w:lineRule="auto"/>
        <w:jc w:val="both"/>
        <w:rPr>
          <w:rFonts w:ascii="Times New Roman" w:eastAsia="TimesNewRoman,Bold" w:hAnsi="Times New Roman" w:cs="Times New Roman"/>
          <w:bCs/>
          <w:sz w:val="24"/>
          <w:szCs w:val="24"/>
        </w:rPr>
      </w:pPr>
    </w:p>
    <w:p w14:paraId="172EF0C4" w14:textId="77777777" w:rsidR="00CE5497" w:rsidRPr="0075261A" w:rsidRDefault="002061CB" w:rsidP="000251B8">
      <w:pPr>
        <w:spacing w:line="360" w:lineRule="auto"/>
        <w:jc w:val="both"/>
        <w:rPr>
          <w:rFonts w:ascii="Times New Roman" w:hAnsi="Times New Roman" w:cs="Times New Roman"/>
          <w:sz w:val="24"/>
          <w:szCs w:val="24"/>
        </w:rPr>
      </w:pPr>
      <w:r w:rsidRPr="0075261A">
        <w:rPr>
          <w:rFonts w:ascii="Times New Roman" w:eastAsia="TimesNewRoman,Bold" w:hAnsi="Times New Roman" w:cs="Times New Roman"/>
          <w:b/>
          <w:bCs/>
          <w:sz w:val="24"/>
          <w:szCs w:val="24"/>
        </w:rPr>
        <w:t>10. K</w:t>
      </w:r>
      <w:r w:rsidR="00250E05" w:rsidRPr="0075261A">
        <w:rPr>
          <w:rFonts w:ascii="Times New Roman" w:eastAsia="TimesNewRoman,Bold" w:hAnsi="Times New Roman" w:cs="Times New Roman"/>
          <w:b/>
          <w:bCs/>
          <w:sz w:val="24"/>
          <w:szCs w:val="24"/>
        </w:rPr>
        <w:t>Ü</w:t>
      </w:r>
      <w:r w:rsidRPr="0075261A">
        <w:rPr>
          <w:rFonts w:ascii="Times New Roman" w:eastAsia="TimesNewRoman,Bold" w:hAnsi="Times New Roman" w:cs="Times New Roman"/>
          <w:b/>
          <w:bCs/>
          <w:sz w:val="24"/>
          <w:szCs w:val="24"/>
        </w:rPr>
        <w:t>B’</w:t>
      </w:r>
      <w:r w:rsidR="00250E05" w:rsidRPr="0075261A">
        <w:rPr>
          <w:rFonts w:ascii="Times New Roman" w:eastAsia="TimesNewRoman,Bold" w:hAnsi="Times New Roman" w:cs="Times New Roman"/>
          <w:b/>
          <w:bCs/>
          <w:sz w:val="24"/>
          <w:szCs w:val="24"/>
        </w:rPr>
        <w:t>Ü</w:t>
      </w:r>
      <w:r w:rsidRPr="0075261A">
        <w:rPr>
          <w:rFonts w:ascii="Times New Roman" w:eastAsia="TimesNewRoman,Bold" w:hAnsi="Times New Roman" w:cs="Times New Roman"/>
          <w:b/>
          <w:bCs/>
          <w:sz w:val="24"/>
          <w:szCs w:val="24"/>
        </w:rPr>
        <w:t>N YEN</w:t>
      </w:r>
      <w:r w:rsidR="00250E05" w:rsidRPr="0075261A">
        <w:rPr>
          <w:rFonts w:ascii="Times New Roman" w:eastAsia="TimesNewRoman,Bold" w:hAnsi="Times New Roman" w:cs="Times New Roman"/>
          <w:b/>
          <w:bCs/>
          <w:sz w:val="24"/>
          <w:szCs w:val="24"/>
        </w:rPr>
        <w:t>İ</w:t>
      </w:r>
      <w:r w:rsidRPr="0075261A">
        <w:rPr>
          <w:rFonts w:ascii="Times New Roman" w:eastAsia="TimesNewRoman,Bold" w:hAnsi="Times New Roman" w:cs="Times New Roman"/>
          <w:b/>
          <w:bCs/>
          <w:sz w:val="24"/>
          <w:szCs w:val="24"/>
        </w:rPr>
        <w:t>LENME TAR</w:t>
      </w:r>
      <w:r w:rsidR="00250E05" w:rsidRPr="0075261A">
        <w:rPr>
          <w:rFonts w:ascii="Times New Roman" w:eastAsia="TimesNewRoman,Bold" w:hAnsi="Times New Roman" w:cs="Times New Roman"/>
          <w:b/>
          <w:bCs/>
          <w:sz w:val="24"/>
          <w:szCs w:val="24"/>
        </w:rPr>
        <w:t>İ</w:t>
      </w:r>
      <w:r w:rsidRPr="0075261A">
        <w:rPr>
          <w:rFonts w:ascii="Times New Roman" w:eastAsia="TimesNewRoman,Bold" w:hAnsi="Times New Roman" w:cs="Times New Roman"/>
          <w:b/>
          <w:bCs/>
          <w:sz w:val="24"/>
          <w:szCs w:val="24"/>
        </w:rPr>
        <w:t>H</w:t>
      </w:r>
      <w:r w:rsidR="00250E05" w:rsidRPr="0075261A">
        <w:rPr>
          <w:rFonts w:ascii="Times New Roman" w:eastAsia="TimesNewRoman,Bold" w:hAnsi="Times New Roman" w:cs="Times New Roman"/>
          <w:b/>
          <w:bCs/>
          <w:sz w:val="24"/>
          <w:szCs w:val="24"/>
        </w:rPr>
        <w:t>İ</w:t>
      </w:r>
    </w:p>
    <w:sectPr w:rsidR="00CE5497" w:rsidRPr="0075261A" w:rsidSect="00CE549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1255" w14:textId="77777777" w:rsidR="002E3796" w:rsidRDefault="002E3796" w:rsidP="00306F73">
      <w:pPr>
        <w:spacing w:after="0" w:line="240" w:lineRule="auto"/>
      </w:pPr>
      <w:r>
        <w:separator/>
      </w:r>
    </w:p>
  </w:endnote>
  <w:endnote w:type="continuationSeparator" w:id="0">
    <w:p w14:paraId="3B697F08" w14:textId="77777777" w:rsidR="002E3796" w:rsidRDefault="002E3796" w:rsidP="0030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7215"/>
      <w:docPartObj>
        <w:docPartGallery w:val="Page Numbers (Bottom of Page)"/>
        <w:docPartUnique/>
      </w:docPartObj>
    </w:sdtPr>
    <w:sdtEndPr/>
    <w:sdtContent>
      <w:p w14:paraId="33A468C9" w14:textId="77777777" w:rsidR="00877F58" w:rsidRDefault="00877F58">
        <w:pPr>
          <w:pStyle w:val="AltBilgi"/>
          <w:jc w:val="right"/>
        </w:pPr>
        <w:r>
          <w:fldChar w:fldCharType="begin"/>
        </w:r>
        <w:r>
          <w:instrText xml:space="preserve"> PAGE   \* MERGEFORMAT </w:instrText>
        </w:r>
        <w:r>
          <w:fldChar w:fldCharType="separate"/>
        </w:r>
        <w:r w:rsidR="00FC093C">
          <w:rPr>
            <w:noProof/>
          </w:rPr>
          <w:t>1</w:t>
        </w:r>
        <w:r>
          <w:rPr>
            <w:noProof/>
          </w:rPr>
          <w:fldChar w:fldCharType="end"/>
        </w:r>
      </w:p>
    </w:sdtContent>
  </w:sdt>
  <w:p w14:paraId="4554B82B" w14:textId="77777777" w:rsidR="00877F58" w:rsidRDefault="00877F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1B25" w14:textId="77777777" w:rsidR="002E3796" w:rsidRDefault="002E3796" w:rsidP="00306F73">
      <w:pPr>
        <w:spacing w:after="0" w:line="240" w:lineRule="auto"/>
      </w:pPr>
      <w:r>
        <w:separator/>
      </w:r>
    </w:p>
  </w:footnote>
  <w:footnote w:type="continuationSeparator" w:id="0">
    <w:p w14:paraId="7EC7735A" w14:textId="77777777" w:rsidR="002E3796" w:rsidRDefault="002E3796" w:rsidP="0030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46"/>
    <w:multiLevelType w:val="multilevel"/>
    <w:tmpl w:val="11A896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F4B5F"/>
    <w:multiLevelType w:val="hybridMultilevel"/>
    <w:tmpl w:val="73E21E48"/>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A2166"/>
    <w:multiLevelType w:val="hybridMultilevel"/>
    <w:tmpl w:val="E99EF6CE"/>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A74A49"/>
    <w:multiLevelType w:val="hybridMultilevel"/>
    <w:tmpl w:val="0D1681E8"/>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A491D"/>
    <w:multiLevelType w:val="hybridMultilevel"/>
    <w:tmpl w:val="2B4EB73A"/>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2D798F"/>
    <w:multiLevelType w:val="hybridMultilevel"/>
    <w:tmpl w:val="7D6C0716"/>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9D1665"/>
    <w:multiLevelType w:val="hybridMultilevel"/>
    <w:tmpl w:val="8DB86EA2"/>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E30502"/>
    <w:multiLevelType w:val="hybridMultilevel"/>
    <w:tmpl w:val="B9EE83E8"/>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7C3708"/>
    <w:multiLevelType w:val="hybridMultilevel"/>
    <w:tmpl w:val="EECED2A0"/>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2955A8"/>
    <w:multiLevelType w:val="hybridMultilevel"/>
    <w:tmpl w:val="C226DC12"/>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EB06B7"/>
    <w:multiLevelType w:val="hybridMultilevel"/>
    <w:tmpl w:val="90546C5A"/>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9F0E08"/>
    <w:multiLevelType w:val="multilevel"/>
    <w:tmpl w:val="2514C9D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DF245F"/>
    <w:multiLevelType w:val="hybridMultilevel"/>
    <w:tmpl w:val="F0DA5AFA"/>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FA631B"/>
    <w:multiLevelType w:val="hybridMultilevel"/>
    <w:tmpl w:val="B776A2EC"/>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6300DB"/>
    <w:multiLevelType w:val="hybridMultilevel"/>
    <w:tmpl w:val="E75EA498"/>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803841"/>
    <w:multiLevelType w:val="hybridMultilevel"/>
    <w:tmpl w:val="E8165164"/>
    <w:lvl w:ilvl="0" w:tplc="5A609F46">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F062FF"/>
    <w:multiLevelType w:val="hybridMultilevel"/>
    <w:tmpl w:val="58B0CBB8"/>
    <w:lvl w:ilvl="0" w:tplc="5A943980">
      <w:start w:val="4"/>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2564261">
    <w:abstractNumId w:val="14"/>
  </w:num>
  <w:num w:numId="2" w16cid:durableId="1169832564">
    <w:abstractNumId w:val="1"/>
  </w:num>
  <w:num w:numId="3" w16cid:durableId="528182316">
    <w:abstractNumId w:val="4"/>
  </w:num>
  <w:num w:numId="4" w16cid:durableId="318313670">
    <w:abstractNumId w:val="9"/>
  </w:num>
  <w:num w:numId="5" w16cid:durableId="1518032604">
    <w:abstractNumId w:val="2"/>
  </w:num>
  <w:num w:numId="6" w16cid:durableId="1423796820">
    <w:abstractNumId w:val="15"/>
  </w:num>
  <w:num w:numId="7" w16cid:durableId="1052776829">
    <w:abstractNumId w:val="3"/>
  </w:num>
  <w:num w:numId="8" w16cid:durableId="131145417">
    <w:abstractNumId w:val="5"/>
  </w:num>
  <w:num w:numId="9" w16cid:durableId="1404451220">
    <w:abstractNumId w:val="13"/>
  </w:num>
  <w:num w:numId="10" w16cid:durableId="700403273">
    <w:abstractNumId w:val="7"/>
  </w:num>
  <w:num w:numId="11" w16cid:durableId="1187207502">
    <w:abstractNumId w:val="6"/>
  </w:num>
  <w:num w:numId="12" w16cid:durableId="145324927">
    <w:abstractNumId w:val="10"/>
  </w:num>
  <w:num w:numId="13" w16cid:durableId="1092242661">
    <w:abstractNumId w:val="12"/>
  </w:num>
  <w:num w:numId="14" w16cid:durableId="2030525612">
    <w:abstractNumId w:val="11"/>
  </w:num>
  <w:num w:numId="15" w16cid:durableId="139423710">
    <w:abstractNumId w:val="8"/>
  </w:num>
  <w:num w:numId="16" w16cid:durableId="647704965">
    <w:abstractNumId w:val="0"/>
  </w:num>
  <w:num w:numId="17" w16cid:durableId="281961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73"/>
    <w:rsid w:val="00001C51"/>
    <w:rsid w:val="00005EEB"/>
    <w:rsid w:val="00007148"/>
    <w:rsid w:val="00014F05"/>
    <w:rsid w:val="000159B9"/>
    <w:rsid w:val="00016A3E"/>
    <w:rsid w:val="00022B00"/>
    <w:rsid w:val="000251B8"/>
    <w:rsid w:val="000348A7"/>
    <w:rsid w:val="0004191A"/>
    <w:rsid w:val="00046666"/>
    <w:rsid w:val="0005295E"/>
    <w:rsid w:val="00052C9C"/>
    <w:rsid w:val="00052D53"/>
    <w:rsid w:val="000640DF"/>
    <w:rsid w:val="00073580"/>
    <w:rsid w:val="000753B0"/>
    <w:rsid w:val="00082AD4"/>
    <w:rsid w:val="000831DB"/>
    <w:rsid w:val="000933AD"/>
    <w:rsid w:val="00093E65"/>
    <w:rsid w:val="00096E6A"/>
    <w:rsid w:val="000A4A9A"/>
    <w:rsid w:val="000A6214"/>
    <w:rsid w:val="000B0C5D"/>
    <w:rsid w:val="000B1FF1"/>
    <w:rsid w:val="000B23DB"/>
    <w:rsid w:val="000B71A9"/>
    <w:rsid w:val="000C50A1"/>
    <w:rsid w:val="000C7FC7"/>
    <w:rsid w:val="000D685E"/>
    <w:rsid w:val="000E1D90"/>
    <w:rsid w:val="000E68A0"/>
    <w:rsid w:val="000F0123"/>
    <w:rsid w:val="000F30A5"/>
    <w:rsid w:val="000F7B49"/>
    <w:rsid w:val="001001F0"/>
    <w:rsid w:val="001039B8"/>
    <w:rsid w:val="00107623"/>
    <w:rsid w:val="00114377"/>
    <w:rsid w:val="001160E4"/>
    <w:rsid w:val="001208CC"/>
    <w:rsid w:val="00120B68"/>
    <w:rsid w:val="00123EAB"/>
    <w:rsid w:val="00124D9E"/>
    <w:rsid w:val="00125EA3"/>
    <w:rsid w:val="00136BF9"/>
    <w:rsid w:val="00137398"/>
    <w:rsid w:val="0014012E"/>
    <w:rsid w:val="00145499"/>
    <w:rsid w:val="00147AC4"/>
    <w:rsid w:val="0015799B"/>
    <w:rsid w:val="00163DEF"/>
    <w:rsid w:val="001731BC"/>
    <w:rsid w:val="00176832"/>
    <w:rsid w:val="00183929"/>
    <w:rsid w:val="001943E6"/>
    <w:rsid w:val="001A0D1B"/>
    <w:rsid w:val="001A6EE8"/>
    <w:rsid w:val="001B0DBD"/>
    <w:rsid w:val="001B2277"/>
    <w:rsid w:val="001B5D8E"/>
    <w:rsid w:val="001B7080"/>
    <w:rsid w:val="001B7AAD"/>
    <w:rsid w:val="001C7D8C"/>
    <w:rsid w:val="001D1FA4"/>
    <w:rsid w:val="001D20A0"/>
    <w:rsid w:val="001D2777"/>
    <w:rsid w:val="001D4AA7"/>
    <w:rsid w:val="001D52E4"/>
    <w:rsid w:val="001E0D1D"/>
    <w:rsid w:val="001E450E"/>
    <w:rsid w:val="001F20CD"/>
    <w:rsid w:val="001F4157"/>
    <w:rsid w:val="00202B3C"/>
    <w:rsid w:val="002061CB"/>
    <w:rsid w:val="002176CE"/>
    <w:rsid w:val="002245E6"/>
    <w:rsid w:val="00224959"/>
    <w:rsid w:val="0023039A"/>
    <w:rsid w:val="00231E9F"/>
    <w:rsid w:val="0024450F"/>
    <w:rsid w:val="00250738"/>
    <w:rsid w:val="00250E05"/>
    <w:rsid w:val="00252AE3"/>
    <w:rsid w:val="002647EA"/>
    <w:rsid w:val="0027162F"/>
    <w:rsid w:val="002838D5"/>
    <w:rsid w:val="00297CCB"/>
    <w:rsid w:val="002A33F2"/>
    <w:rsid w:val="002A3895"/>
    <w:rsid w:val="002B3359"/>
    <w:rsid w:val="002C0FD6"/>
    <w:rsid w:val="002D40E7"/>
    <w:rsid w:val="002D4B94"/>
    <w:rsid w:val="002E2643"/>
    <w:rsid w:val="002E3796"/>
    <w:rsid w:val="002E50C2"/>
    <w:rsid w:val="002F47AF"/>
    <w:rsid w:val="002F4A21"/>
    <w:rsid w:val="002F540E"/>
    <w:rsid w:val="002F63F4"/>
    <w:rsid w:val="00302066"/>
    <w:rsid w:val="003020D7"/>
    <w:rsid w:val="00305152"/>
    <w:rsid w:val="00306F73"/>
    <w:rsid w:val="003073AD"/>
    <w:rsid w:val="00310875"/>
    <w:rsid w:val="0031590D"/>
    <w:rsid w:val="00316346"/>
    <w:rsid w:val="003178CF"/>
    <w:rsid w:val="00324886"/>
    <w:rsid w:val="00332BF4"/>
    <w:rsid w:val="00335570"/>
    <w:rsid w:val="003511E8"/>
    <w:rsid w:val="00353948"/>
    <w:rsid w:val="00354B6F"/>
    <w:rsid w:val="00356572"/>
    <w:rsid w:val="00362AE6"/>
    <w:rsid w:val="00363071"/>
    <w:rsid w:val="003661D1"/>
    <w:rsid w:val="00374C57"/>
    <w:rsid w:val="00381BAA"/>
    <w:rsid w:val="003839A8"/>
    <w:rsid w:val="00384209"/>
    <w:rsid w:val="0039066A"/>
    <w:rsid w:val="003954DC"/>
    <w:rsid w:val="00395E60"/>
    <w:rsid w:val="003A7E12"/>
    <w:rsid w:val="003B539B"/>
    <w:rsid w:val="003C5101"/>
    <w:rsid w:val="003C6E65"/>
    <w:rsid w:val="003D5D81"/>
    <w:rsid w:val="003D7AE1"/>
    <w:rsid w:val="003E4304"/>
    <w:rsid w:val="003E5741"/>
    <w:rsid w:val="003E5ADD"/>
    <w:rsid w:val="003E5BC8"/>
    <w:rsid w:val="003E5EDD"/>
    <w:rsid w:val="003E6AFB"/>
    <w:rsid w:val="003E72DA"/>
    <w:rsid w:val="00414024"/>
    <w:rsid w:val="00416A12"/>
    <w:rsid w:val="00427032"/>
    <w:rsid w:val="0043702E"/>
    <w:rsid w:val="00445075"/>
    <w:rsid w:val="00445775"/>
    <w:rsid w:val="00445964"/>
    <w:rsid w:val="00450391"/>
    <w:rsid w:val="0045322D"/>
    <w:rsid w:val="00454620"/>
    <w:rsid w:val="004547A4"/>
    <w:rsid w:val="00461F8C"/>
    <w:rsid w:val="004629E3"/>
    <w:rsid w:val="00465971"/>
    <w:rsid w:val="00466869"/>
    <w:rsid w:val="00467D20"/>
    <w:rsid w:val="00472A5D"/>
    <w:rsid w:val="00473DF7"/>
    <w:rsid w:val="00476CFB"/>
    <w:rsid w:val="004810CB"/>
    <w:rsid w:val="004829A9"/>
    <w:rsid w:val="004A3E4B"/>
    <w:rsid w:val="004A4C49"/>
    <w:rsid w:val="004B1110"/>
    <w:rsid w:val="004B2686"/>
    <w:rsid w:val="004D778D"/>
    <w:rsid w:val="004E2B25"/>
    <w:rsid w:val="004E512B"/>
    <w:rsid w:val="004E70C9"/>
    <w:rsid w:val="004F0141"/>
    <w:rsid w:val="004F5281"/>
    <w:rsid w:val="004F5EDA"/>
    <w:rsid w:val="004F771D"/>
    <w:rsid w:val="004F7973"/>
    <w:rsid w:val="0050230B"/>
    <w:rsid w:val="00505DD7"/>
    <w:rsid w:val="00515CD3"/>
    <w:rsid w:val="00533450"/>
    <w:rsid w:val="00533E9D"/>
    <w:rsid w:val="005420A1"/>
    <w:rsid w:val="005421A3"/>
    <w:rsid w:val="005502CC"/>
    <w:rsid w:val="00550448"/>
    <w:rsid w:val="0055210B"/>
    <w:rsid w:val="00553336"/>
    <w:rsid w:val="00556176"/>
    <w:rsid w:val="00562940"/>
    <w:rsid w:val="0056749A"/>
    <w:rsid w:val="005715FB"/>
    <w:rsid w:val="005731B7"/>
    <w:rsid w:val="00576CC4"/>
    <w:rsid w:val="0058023A"/>
    <w:rsid w:val="005862B3"/>
    <w:rsid w:val="00591D22"/>
    <w:rsid w:val="005A3505"/>
    <w:rsid w:val="005A3F1E"/>
    <w:rsid w:val="005B7B89"/>
    <w:rsid w:val="005C1B02"/>
    <w:rsid w:val="005C26C0"/>
    <w:rsid w:val="005C530F"/>
    <w:rsid w:val="005C5784"/>
    <w:rsid w:val="005D5608"/>
    <w:rsid w:val="005D5D5D"/>
    <w:rsid w:val="005D6655"/>
    <w:rsid w:val="005E11AB"/>
    <w:rsid w:val="005E4B57"/>
    <w:rsid w:val="005E5798"/>
    <w:rsid w:val="005F6FFE"/>
    <w:rsid w:val="00602A1C"/>
    <w:rsid w:val="00606C12"/>
    <w:rsid w:val="0061076D"/>
    <w:rsid w:val="00612471"/>
    <w:rsid w:val="006235A8"/>
    <w:rsid w:val="00624E1A"/>
    <w:rsid w:val="006270DA"/>
    <w:rsid w:val="00632F00"/>
    <w:rsid w:val="00647983"/>
    <w:rsid w:val="00664B49"/>
    <w:rsid w:val="00672728"/>
    <w:rsid w:val="00684171"/>
    <w:rsid w:val="00685E0D"/>
    <w:rsid w:val="00695621"/>
    <w:rsid w:val="006A310A"/>
    <w:rsid w:val="006A4FA6"/>
    <w:rsid w:val="006B0B93"/>
    <w:rsid w:val="006B5DAB"/>
    <w:rsid w:val="006D2AF4"/>
    <w:rsid w:val="006E49EC"/>
    <w:rsid w:val="006F0C5A"/>
    <w:rsid w:val="006F1631"/>
    <w:rsid w:val="006F1862"/>
    <w:rsid w:val="006F2356"/>
    <w:rsid w:val="006F297A"/>
    <w:rsid w:val="00704450"/>
    <w:rsid w:val="00712968"/>
    <w:rsid w:val="00714A2A"/>
    <w:rsid w:val="0072116B"/>
    <w:rsid w:val="007237C0"/>
    <w:rsid w:val="007238DA"/>
    <w:rsid w:val="00730C02"/>
    <w:rsid w:val="00730F57"/>
    <w:rsid w:val="007316F8"/>
    <w:rsid w:val="00745DBC"/>
    <w:rsid w:val="007509FF"/>
    <w:rsid w:val="0075261A"/>
    <w:rsid w:val="0075268C"/>
    <w:rsid w:val="00752851"/>
    <w:rsid w:val="00760A07"/>
    <w:rsid w:val="00771432"/>
    <w:rsid w:val="00772D53"/>
    <w:rsid w:val="00781131"/>
    <w:rsid w:val="00781EF5"/>
    <w:rsid w:val="007843E4"/>
    <w:rsid w:val="007946CD"/>
    <w:rsid w:val="007A3BF7"/>
    <w:rsid w:val="007A691B"/>
    <w:rsid w:val="007B200F"/>
    <w:rsid w:val="007B5D9C"/>
    <w:rsid w:val="007B762E"/>
    <w:rsid w:val="007C1F52"/>
    <w:rsid w:val="007C385C"/>
    <w:rsid w:val="007C3E0E"/>
    <w:rsid w:val="007C7CA8"/>
    <w:rsid w:val="007D02F9"/>
    <w:rsid w:val="007D0AE3"/>
    <w:rsid w:val="007D2DC9"/>
    <w:rsid w:val="007D5CF0"/>
    <w:rsid w:val="007E27BF"/>
    <w:rsid w:val="007E729B"/>
    <w:rsid w:val="007F07C7"/>
    <w:rsid w:val="007F453F"/>
    <w:rsid w:val="007F73EB"/>
    <w:rsid w:val="00805C09"/>
    <w:rsid w:val="008144DF"/>
    <w:rsid w:val="008164CC"/>
    <w:rsid w:val="00821B36"/>
    <w:rsid w:val="008241E0"/>
    <w:rsid w:val="00836B6C"/>
    <w:rsid w:val="00851947"/>
    <w:rsid w:val="00851E49"/>
    <w:rsid w:val="00854020"/>
    <w:rsid w:val="008614F5"/>
    <w:rsid w:val="008647BE"/>
    <w:rsid w:val="00876CFE"/>
    <w:rsid w:val="00877F58"/>
    <w:rsid w:val="008802BE"/>
    <w:rsid w:val="008859DA"/>
    <w:rsid w:val="008905DE"/>
    <w:rsid w:val="00897340"/>
    <w:rsid w:val="008A0B86"/>
    <w:rsid w:val="008B04C0"/>
    <w:rsid w:val="008B4C14"/>
    <w:rsid w:val="008B62CD"/>
    <w:rsid w:val="008C307C"/>
    <w:rsid w:val="008C6520"/>
    <w:rsid w:val="008C6953"/>
    <w:rsid w:val="008D58CA"/>
    <w:rsid w:val="008E6111"/>
    <w:rsid w:val="008E6344"/>
    <w:rsid w:val="008F5FCE"/>
    <w:rsid w:val="008F6E6A"/>
    <w:rsid w:val="009038B2"/>
    <w:rsid w:val="00906B97"/>
    <w:rsid w:val="009078EC"/>
    <w:rsid w:val="00907D4A"/>
    <w:rsid w:val="00913152"/>
    <w:rsid w:val="00914B5B"/>
    <w:rsid w:val="009155C1"/>
    <w:rsid w:val="00921BE2"/>
    <w:rsid w:val="00925741"/>
    <w:rsid w:val="0093168A"/>
    <w:rsid w:val="00933439"/>
    <w:rsid w:val="00940E4A"/>
    <w:rsid w:val="00943F8A"/>
    <w:rsid w:val="00944DBD"/>
    <w:rsid w:val="0095155F"/>
    <w:rsid w:val="00953095"/>
    <w:rsid w:val="00957C91"/>
    <w:rsid w:val="00960EF4"/>
    <w:rsid w:val="00962EFE"/>
    <w:rsid w:val="009653BC"/>
    <w:rsid w:val="00970398"/>
    <w:rsid w:val="00971124"/>
    <w:rsid w:val="009768F6"/>
    <w:rsid w:val="009773CC"/>
    <w:rsid w:val="009778B2"/>
    <w:rsid w:val="00987EAF"/>
    <w:rsid w:val="009957BE"/>
    <w:rsid w:val="009A497D"/>
    <w:rsid w:val="009A6A50"/>
    <w:rsid w:val="009A6E59"/>
    <w:rsid w:val="009B0D69"/>
    <w:rsid w:val="009B6A08"/>
    <w:rsid w:val="009C148C"/>
    <w:rsid w:val="009C2A0C"/>
    <w:rsid w:val="009D222C"/>
    <w:rsid w:val="009D72B1"/>
    <w:rsid w:val="009E415E"/>
    <w:rsid w:val="009F0168"/>
    <w:rsid w:val="009F08F4"/>
    <w:rsid w:val="009F5064"/>
    <w:rsid w:val="00A028EF"/>
    <w:rsid w:val="00A02F66"/>
    <w:rsid w:val="00A06922"/>
    <w:rsid w:val="00A07990"/>
    <w:rsid w:val="00A14839"/>
    <w:rsid w:val="00A2326A"/>
    <w:rsid w:val="00A23C03"/>
    <w:rsid w:val="00A244AA"/>
    <w:rsid w:val="00A25014"/>
    <w:rsid w:val="00A33ECC"/>
    <w:rsid w:val="00A374B1"/>
    <w:rsid w:val="00A379B5"/>
    <w:rsid w:val="00A40332"/>
    <w:rsid w:val="00A45465"/>
    <w:rsid w:val="00A56A63"/>
    <w:rsid w:val="00A612B4"/>
    <w:rsid w:val="00A6295B"/>
    <w:rsid w:val="00A64BCC"/>
    <w:rsid w:val="00A75031"/>
    <w:rsid w:val="00A751EB"/>
    <w:rsid w:val="00A82C65"/>
    <w:rsid w:val="00A82D2E"/>
    <w:rsid w:val="00A856A1"/>
    <w:rsid w:val="00A905CC"/>
    <w:rsid w:val="00AA4552"/>
    <w:rsid w:val="00AA4AE4"/>
    <w:rsid w:val="00AA7388"/>
    <w:rsid w:val="00AB37A3"/>
    <w:rsid w:val="00AB616C"/>
    <w:rsid w:val="00AC0941"/>
    <w:rsid w:val="00AC3D7C"/>
    <w:rsid w:val="00AC6298"/>
    <w:rsid w:val="00AD7CD7"/>
    <w:rsid w:val="00AE444B"/>
    <w:rsid w:val="00AF4B71"/>
    <w:rsid w:val="00AF7B4A"/>
    <w:rsid w:val="00B059FD"/>
    <w:rsid w:val="00B13E70"/>
    <w:rsid w:val="00B22052"/>
    <w:rsid w:val="00B25817"/>
    <w:rsid w:val="00B35E49"/>
    <w:rsid w:val="00B444C8"/>
    <w:rsid w:val="00B45392"/>
    <w:rsid w:val="00B5379F"/>
    <w:rsid w:val="00B54B34"/>
    <w:rsid w:val="00B566BB"/>
    <w:rsid w:val="00B63DBF"/>
    <w:rsid w:val="00B715AC"/>
    <w:rsid w:val="00B72B07"/>
    <w:rsid w:val="00B74424"/>
    <w:rsid w:val="00B74F39"/>
    <w:rsid w:val="00B830A7"/>
    <w:rsid w:val="00B8715A"/>
    <w:rsid w:val="00B901CC"/>
    <w:rsid w:val="00B90FCB"/>
    <w:rsid w:val="00B95073"/>
    <w:rsid w:val="00B955A0"/>
    <w:rsid w:val="00B96131"/>
    <w:rsid w:val="00BA1510"/>
    <w:rsid w:val="00BA1C96"/>
    <w:rsid w:val="00BA6BF5"/>
    <w:rsid w:val="00BB2DEB"/>
    <w:rsid w:val="00BC7859"/>
    <w:rsid w:val="00BD09C3"/>
    <w:rsid w:val="00BE04CF"/>
    <w:rsid w:val="00BE09E2"/>
    <w:rsid w:val="00BE1C1B"/>
    <w:rsid w:val="00BE44AE"/>
    <w:rsid w:val="00BE792E"/>
    <w:rsid w:val="00BF1001"/>
    <w:rsid w:val="00BF62F6"/>
    <w:rsid w:val="00C00413"/>
    <w:rsid w:val="00C013A9"/>
    <w:rsid w:val="00C1003B"/>
    <w:rsid w:val="00C114A9"/>
    <w:rsid w:val="00C172EA"/>
    <w:rsid w:val="00C1786C"/>
    <w:rsid w:val="00C25B32"/>
    <w:rsid w:val="00C40FAF"/>
    <w:rsid w:val="00C42960"/>
    <w:rsid w:val="00C4691C"/>
    <w:rsid w:val="00C50623"/>
    <w:rsid w:val="00C53D5A"/>
    <w:rsid w:val="00C60368"/>
    <w:rsid w:val="00C63A77"/>
    <w:rsid w:val="00C663CB"/>
    <w:rsid w:val="00C71360"/>
    <w:rsid w:val="00C75B17"/>
    <w:rsid w:val="00C77D3D"/>
    <w:rsid w:val="00C86A2F"/>
    <w:rsid w:val="00C87FB0"/>
    <w:rsid w:val="00C90B29"/>
    <w:rsid w:val="00CA0A70"/>
    <w:rsid w:val="00CA1935"/>
    <w:rsid w:val="00CA43F4"/>
    <w:rsid w:val="00CB3E07"/>
    <w:rsid w:val="00CB67EE"/>
    <w:rsid w:val="00CB6AA7"/>
    <w:rsid w:val="00CB78AA"/>
    <w:rsid w:val="00CC4805"/>
    <w:rsid w:val="00CD2A8F"/>
    <w:rsid w:val="00CD70EF"/>
    <w:rsid w:val="00CE4766"/>
    <w:rsid w:val="00CE5497"/>
    <w:rsid w:val="00CE6C2D"/>
    <w:rsid w:val="00CF1105"/>
    <w:rsid w:val="00CF24C6"/>
    <w:rsid w:val="00D14ABF"/>
    <w:rsid w:val="00D15543"/>
    <w:rsid w:val="00D2033B"/>
    <w:rsid w:val="00D21A5B"/>
    <w:rsid w:val="00D30BBD"/>
    <w:rsid w:val="00D31758"/>
    <w:rsid w:val="00D32523"/>
    <w:rsid w:val="00D35A4C"/>
    <w:rsid w:val="00D35E68"/>
    <w:rsid w:val="00D3646A"/>
    <w:rsid w:val="00D36E51"/>
    <w:rsid w:val="00D50032"/>
    <w:rsid w:val="00D57ABB"/>
    <w:rsid w:val="00D61E35"/>
    <w:rsid w:val="00D66EC8"/>
    <w:rsid w:val="00D67CF2"/>
    <w:rsid w:val="00D71E6C"/>
    <w:rsid w:val="00D776FC"/>
    <w:rsid w:val="00D833B1"/>
    <w:rsid w:val="00D85530"/>
    <w:rsid w:val="00D9570B"/>
    <w:rsid w:val="00DA39BF"/>
    <w:rsid w:val="00DB2D96"/>
    <w:rsid w:val="00DB534B"/>
    <w:rsid w:val="00DB633F"/>
    <w:rsid w:val="00DC273E"/>
    <w:rsid w:val="00DD0180"/>
    <w:rsid w:val="00DD0DCC"/>
    <w:rsid w:val="00DD2270"/>
    <w:rsid w:val="00DD4B9D"/>
    <w:rsid w:val="00DE0380"/>
    <w:rsid w:val="00DE21D8"/>
    <w:rsid w:val="00DE3494"/>
    <w:rsid w:val="00DE3BA5"/>
    <w:rsid w:val="00DE3D78"/>
    <w:rsid w:val="00E022F7"/>
    <w:rsid w:val="00E06212"/>
    <w:rsid w:val="00E16CB1"/>
    <w:rsid w:val="00E22D49"/>
    <w:rsid w:val="00E31C81"/>
    <w:rsid w:val="00E34D37"/>
    <w:rsid w:val="00E366F0"/>
    <w:rsid w:val="00E430F6"/>
    <w:rsid w:val="00E43795"/>
    <w:rsid w:val="00E43C6B"/>
    <w:rsid w:val="00E5036D"/>
    <w:rsid w:val="00E52661"/>
    <w:rsid w:val="00E66740"/>
    <w:rsid w:val="00E805A9"/>
    <w:rsid w:val="00E9081E"/>
    <w:rsid w:val="00E921BE"/>
    <w:rsid w:val="00E93227"/>
    <w:rsid w:val="00E93A83"/>
    <w:rsid w:val="00E93B24"/>
    <w:rsid w:val="00EA12AC"/>
    <w:rsid w:val="00EA1CB5"/>
    <w:rsid w:val="00EA24AF"/>
    <w:rsid w:val="00EA26D7"/>
    <w:rsid w:val="00EA7757"/>
    <w:rsid w:val="00EA7A1A"/>
    <w:rsid w:val="00EB3032"/>
    <w:rsid w:val="00EB59C4"/>
    <w:rsid w:val="00EC29AB"/>
    <w:rsid w:val="00ED2372"/>
    <w:rsid w:val="00ED508C"/>
    <w:rsid w:val="00EE34FB"/>
    <w:rsid w:val="00EE49D4"/>
    <w:rsid w:val="00EF7312"/>
    <w:rsid w:val="00F26B60"/>
    <w:rsid w:val="00F270E9"/>
    <w:rsid w:val="00F3637E"/>
    <w:rsid w:val="00F47B4A"/>
    <w:rsid w:val="00F50EB0"/>
    <w:rsid w:val="00F6071E"/>
    <w:rsid w:val="00F60965"/>
    <w:rsid w:val="00F62FAA"/>
    <w:rsid w:val="00F6343A"/>
    <w:rsid w:val="00F66BEC"/>
    <w:rsid w:val="00F75C25"/>
    <w:rsid w:val="00F7719A"/>
    <w:rsid w:val="00F77BBE"/>
    <w:rsid w:val="00F86476"/>
    <w:rsid w:val="00F86AC4"/>
    <w:rsid w:val="00F911EA"/>
    <w:rsid w:val="00F94573"/>
    <w:rsid w:val="00F97D86"/>
    <w:rsid w:val="00FA2996"/>
    <w:rsid w:val="00FB035A"/>
    <w:rsid w:val="00FB107C"/>
    <w:rsid w:val="00FB35DE"/>
    <w:rsid w:val="00FB4150"/>
    <w:rsid w:val="00FB62F4"/>
    <w:rsid w:val="00FB7BB6"/>
    <w:rsid w:val="00FC093C"/>
    <w:rsid w:val="00FC5A86"/>
    <w:rsid w:val="00FD38A5"/>
    <w:rsid w:val="00FD62F4"/>
    <w:rsid w:val="00FE19D9"/>
    <w:rsid w:val="00FE36CE"/>
    <w:rsid w:val="00FE3903"/>
    <w:rsid w:val="00FE62BC"/>
    <w:rsid w:val="00FF3CD5"/>
    <w:rsid w:val="00FF48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DDC0"/>
  <w15:docId w15:val="{618F9BA2-9C64-4964-9912-A0137497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06F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6F73"/>
  </w:style>
  <w:style w:type="paragraph" w:styleId="AltBilgi">
    <w:name w:val="footer"/>
    <w:basedOn w:val="Normal"/>
    <w:link w:val="AltBilgiChar"/>
    <w:uiPriority w:val="99"/>
    <w:unhideWhenUsed/>
    <w:rsid w:val="00306F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6F73"/>
  </w:style>
  <w:style w:type="paragraph" w:customStyle="1" w:styleId="Default">
    <w:name w:val="Default"/>
    <w:rsid w:val="001B7AA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DB534B"/>
    <w:pPr>
      <w:ind w:left="720"/>
      <w:contextualSpacing/>
    </w:pPr>
  </w:style>
  <w:style w:type="character" w:styleId="YerTutucuMetni">
    <w:name w:val="Placeholder Text"/>
    <w:basedOn w:val="VarsaylanParagrafYazTipi"/>
    <w:uiPriority w:val="99"/>
    <w:semiHidden/>
    <w:rsid w:val="008B62CD"/>
    <w:rPr>
      <w:color w:val="808080"/>
    </w:rPr>
  </w:style>
  <w:style w:type="paragraph" w:styleId="BalonMetni">
    <w:name w:val="Balloon Text"/>
    <w:basedOn w:val="Normal"/>
    <w:link w:val="BalonMetniChar"/>
    <w:uiPriority w:val="99"/>
    <w:semiHidden/>
    <w:unhideWhenUsed/>
    <w:rsid w:val="008B62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62CD"/>
    <w:rPr>
      <w:rFonts w:ascii="Tahoma" w:hAnsi="Tahoma" w:cs="Tahoma"/>
      <w:sz w:val="16"/>
      <w:szCs w:val="16"/>
    </w:rPr>
  </w:style>
  <w:style w:type="table" w:styleId="TabloKlavuzu">
    <w:name w:val="Table Grid"/>
    <w:basedOn w:val="NormalTablo"/>
    <w:uiPriority w:val="59"/>
    <w:rsid w:val="006F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E11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E11AB"/>
    <w:rPr>
      <w:sz w:val="20"/>
      <w:szCs w:val="20"/>
    </w:rPr>
  </w:style>
  <w:style w:type="character" w:styleId="DipnotBavurusu">
    <w:name w:val="footnote reference"/>
    <w:basedOn w:val="VarsaylanParagrafYazTipi"/>
    <w:uiPriority w:val="99"/>
    <w:semiHidden/>
    <w:unhideWhenUsed/>
    <w:rsid w:val="005E1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7271">
      <w:bodyDiv w:val="1"/>
      <w:marLeft w:val="0"/>
      <w:marRight w:val="0"/>
      <w:marTop w:val="0"/>
      <w:marBottom w:val="0"/>
      <w:divBdr>
        <w:top w:val="none" w:sz="0" w:space="0" w:color="auto"/>
        <w:left w:val="none" w:sz="0" w:space="0" w:color="auto"/>
        <w:bottom w:val="none" w:sz="0" w:space="0" w:color="auto"/>
        <w:right w:val="none" w:sz="0" w:space="0" w:color="auto"/>
      </w:divBdr>
    </w:div>
    <w:div w:id="921717463">
      <w:bodyDiv w:val="1"/>
      <w:marLeft w:val="0"/>
      <w:marRight w:val="0"/>
      <w:marTop w:val="0"/>
      <w:marBottom w:val="0"/>
      <w:divBdr>
        <w:top w:val="none" w:sz="0" w:space="0" w:color="auto"/>
        <w:left w:val="none" w:sz="0" w:space="0" w:color="auto"/>
        <w:bottom w:val="none" w:sz="0" w:space="0" w:color="auto"/>
        <w:right w:val="none" w:sz="0" w:space="0" w:color="auto"/>
      </w:divBdr>
    </w:div>
    <w:div w:id="1114784113">
      <w:bodyDiv w:val="1"/>
      <w:marLeft w:val="0"/>
      <w:marRight w:val="0"/>
      <w:marTop w:val="0"/>
      <w:marBottom w:val="0"/>
      <w:divBdr>
        <w:top w:val="none" w:sz="0" w:space="0" w:color="auto"/>
        <w:left w:val="none" w:sz="0" w:space="0" w:color="auto"/>
        <w:bottom w:val="none" w:sz="0" w:space="0" w:color="auto"/>
        <w:right w:val="none" w:sz="0" w:space="0" w:color="auto"/>
      </w:divBdr>
    </w:div>
    <w:div w:id="1597443589">
      <w:bodyDiv w:val="1"/>
      <w:marLeft w:val="0"/>
      <w:marRight w:val="0"/>
      <w:marTop w:val="0"/>
      <w:marBottom w:val="0"/>
      <w:divBdr>
        <w:top w:val="none" w:sz="0" w:space="0" w:color="auto"/>
        <w:left w:val="none" w:sz="0" w:space="0" w:color="auto"/>
        <w:bottom w:val="none" w:sz="0" w:space="0" w:color="auto"/>
        <w:right w:val="none" w:sz="0" w:space="0" w:color="auto"/>
      </w:divBdr>
    </w:div>
    <w:div w:id="19578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Pages>
  <Words>1993</Words>
  <Characters>11361</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ali.tefekli</dc:creator>
  <cp:lastModifiedBy>TAB ILAC ANONIM SIRKETİ</cp:lastModifiedBy>
  <cp:revision>36</cp:revision>
  <cp:lastPrinted>2019-01-21T12:15:00Z</cp:lastPrinted>
  <dcterms:created xsi:type="dcterms:W3CDTF">2024-11-28T09:02:00Z</dcterms:created>
  <dcterms:modified xsi:type="dcterms:W3CDTF">2026-05-12T12:29:00Z</dcterms:modified>
</cp:coreProperties>
</file>